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092" w:firstLineChars="11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公正性与保密管理程序</w:t>
      </w:r>
    </w:p>
    <w:p>
      <w:pPr>
        <w:spacing w:line="360" w:lineRule="auto"/>
        <w:ind w:firstLine="3600" w:firstLineChars="2000"/>
        <w:rPr>
          <w:rFonts w:asciiTheme="minorEastAsia" w:hAnsiTheme="minorEastAsia" w:eastAsiaTheme="minorEastAsia"/>
          <w:bCs/>
          <w:sz w:val="18"/>
          <w:szCs w:val="18"/>
        </w:rPr>
      </w:pPr>
      <w:r>
        <w:rPr>
          <w:rFonts w:hint="eastAsia" w:asciiTheme="minorEastAsia" w:hAnsiTheme="minorEastAsia" w:eastAsiaTheme="minorEastAsia"/>
          <w:bCs/>
          <w:sz w:val="18"/>
          <w:szCs w:val="18"/>
        </w:rPr>
        <w:t>文件编号：</w:t>
      </w:r>
      <w:r>
        <w:rPr>
          <w:rFonts w:hint="eastAsia" w:asciiTheme="minorEastAsia" w:hAnsiTheme="minorEastAsia" w:eastAsiaTheme="minorEastAsia"/>
          <w:bCs/>
          <w:sz w:val="18"/>
          <w:szCs w:val="18"/>
          <w:lang w:val="en-US" w:eastAsia="zh-CN"/>
        </w:rPr>
        <w:t>ZFC</w:t>
      </w:r>
      <w:r>
        <w:rPr>
          <w:rFonts w:asciiTheme="minorEastAsia" w:hAnsiTheme="minorEastAsia" w:eastAsiaTheme="minorEastAsia"/>
          <w:bCs/>
          <w:sz w:val="18"/>
          <w:szCs w:val="18"/>
        </w:rPr>
        <w:t>-CX0402</w:t>
      </w:r>
    </w:p>
    <w:p>
      <w:pPr>
        <w:spacing w:line="560" w:lineRule="exact"/>
        <w:rPr>
          <w:rFonts w:asciiTheme="minorEastAsia" w:hAnsiTheme="minorEastAsia" w:eastAsiaTheme="minorEastAsia"/>
          <w:b/>
          <w:sz w:val="24"/>
        </w:rPr>
      </w:pPr>
      <w:r>
        <w:rPr>
          <w:rFonts w:hint="eastAsia" w:asciiTheme="minorEastAsia" w:hAnsiTheme="minorEastAsia" w:eastAsiaTheme="minorEastAsia"/>
          <w:b/>
          <w:sz w:val="24"/>
        </w:rPr>
        <w:t>1.目的</w:t>
      </w:r>
    </w:p>
    <w:p>
      <w:pPr>
        <w:spacing w:line="560" w:lineRule="exact"/>
        <w:ind w:left="420" w:leftChars="200"/>
        <w:rPr>
          <w:rFonts w:ascii="宋体" w:hAnsi="宋体"/>
          <w:szCs w:val="21"/>
        </w:rPr>
      </w:pPr>
      <w:r>
        <w:rPr>
          <w:rFonts w:hint="eastAsia" w:ascii="宋体" w:hAnsi="宋体"/>
          <w:szCs w:val="21"/>
        </w:rPr>
        <w:t>为识别和分析认证活动引起利益冲突的可能性，消除或最大限度减少各种可能对公正性构成的威胁。保守客户秘密、提供优质高效服务。确保公司管理体系认证活动的客观性、公正性，特制订本程序。</w:t>
      </w:r>
    </w:p>
    <w:p>
      <w:pPr>
        <w:spacing w:line="560" w:lineRule="exact"/>
        <w:rPr>
          <w:rFonts w:asciiTheme="minorEastAsia" w:hAnsiTheme="minorEastAsia" w:eastAsiaTheme="minorEastAsia"/>
          <w:b/>
          <w:sz w:val="24"/>
        </w:rPr>
      </w:pPr>
      <w:r>
        <w:rPr>
          <w:rFonts w:hint="eastAsia" w:asciiTheme="minorEastAsia" w:hAnsiTheme="minorEastAsia" w:eastAsiaTheme="minorEastAsia"/>
          <w:b/>
          <w:sz w:val="24"/>
        </w:rPr>
        <w:t>2.适用范围</w:t>
      </w:r>
    </w:p>
    <w:p>
      <w:pPr>
        <w:spacing w:line="560" w:lineRule="exact"/>
        <w:ind w:left="420" w:leftChars="200"/>
        <w:rPr>
          <w:rFonts w:ascii="宋体" w:hAnsi="宋体"/>
          <w:szCs w:val="21"/>
        </w:rPr>
      </w:pPr>
      <w:r>
        <w:rPr>
          <w:rFonts w:hint="eastAsia" w:ascii="宋体" w:hAnsi="宋体"/>
          <w:szCs w:val="21"/>
        </w:rPr>
        <w:t>本程序适用于山东中梓富检认证有限公司在开展认证工作中应遵循的公正性及保密性所有过程和活动。</w:t>
      </w:r>
    </w:p>
    <w:p>
      <w:pPr>
        <w:spacing w:line="560" w:lineRule="exact"/>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 xml:space="preserve"> </w:t>
      </w:r>
      <w:r>
        <w:rPr>
          <w:rFonts w:hint="eastAsia" w:asciiTheme="minorEastAsia" w:hAnsiTheme="minorEastAsia" w:eastAsiaTheme="minorEastAsia"/>
          <w:b/>
          <w:sz w:val="24"/>
        </w:rPr>
        <w:t>依据标准</w:t>
      </w:r>
    </w:p>
    <w:p>
      <w:pPr>
        <w:spacing w:line="560" w:lineRule="exact"/>
        <w:rPr>
          <w:rFonts w:asciiTheme="minorEastAsia" w:hAnsiTheme="minorEastAsia" w:eastAsiaTheme="minorEastAsia"/>
          <w:b/>
          <w:sz w:val="24"/>
        </w:rPr>
      </w:pPr>
      <w:r>
        <w:rPr>
          <w:rFonts w:hint="eastAsia" w:asciiTheme="minorEastAsia" w:hAnsiTheme="minorEastAsia" w:eastAsiaTheme="minorEastAsia"/>
          <w:b/>
          <w:sz w:val="24"/>
        </w:rPr>
        <w:t xml:space="preserve"> </w:t>
      </w:r>
      <w:r>
        <w:rPr>
          <w:rFonts w:asciiTheme="minorEastAsia" w:hAnsiTheme="minorEastAsia" w:eastAsiaTheme="minorEastAsia"/>
          <w:b/>
          <w:sz w:val="24"/>
        </w:rPr>
        <w:t xml:space="preserve"> </w:t>
      </w:r>
      <w:r>
        <w:rPr>
          <w:rFonts w:ascii="宋体" w:hAnsi="宋体"/>
          <w:szCs w:val="21"/>
        </w:rPr>
        <w:t xml:space="preserve"> CNAS-CC01:2015</w:t>
      </w:r>
      <w:r>
        <w:rPr>
          <w:rFonts w:hint="eastAsia" w:ascii="宋体" w:hAnsi="宋体"/>
          <w:szCs w:val="21"/>
        </w:rPr>
        <w:t>《管理体系认证机构要求》</w:t>
      </w:r>
    </w:p>
    <w:p>
      <w:pPr>
        <w:spacing w:line="560" w:lineRule="exac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C</w:t>
      </w:r>
      <w:r>
        <w:rPr>
          <w:rFonts w:ascii="宋体" w:hAnsi="宋体"/>
          <w:szCs w:val="21"/>
        </w:rPr>
        <w:t>NAS</w:t>
      </w:r>
      <w:r>
        <w:rPr>
          <w:rFonts w:hint="eastAsia" w:ascii="宋体" w:hAnsi="宋体"/>
          <w:szCs w:val="21"/>
        </w:rPr>
        <w:t>-</w:t>
      </w:r>
      <w:r>
        <w:rPr>
          <w:rFonts w:ascii="宋体" w:hAnsi="宋体"/>
          <w:szCs w:val="21"/>
        </w:rPr>
        <w:t>R02:2018</w:t>
      </w:r>
      <w:r>
        <w:rPr>
          <w:rFonts w:hint="eastAsia" w:ascii="宋体" w:hAnsi="宋体"/>
          <w:szCs w:val="21"/>
        </w:rPr>
        <w:t>《公正性和保密规则》</w:t>
      </w:r>
    </w:p>
    <w:p>
      <w:pPr>
        <w:spacing w:line="560" w:lineRule="exact"/>
        <w:rPr>
          <w:rFonts w:asciiTheme="minorEastAsia" w:hAnsiTheme="minorEastAsia" w:eastAsiaTheme="minorEastAsia"/>
          <w:b/>
          <w:sz w:val="24"/>
        </w:rPr>
      </w:pPr>
      <w:r>
        <w:rPr>
          <w:rFonts w:hint="eastAsia" w:asciiTheme="minorEastAsia" w:hAnsiTheme="minorEastAsia" w:eastAsiaTheme="minorEastAsia"/>
          <w:b/>
          <w:sz w:val="24"/>
        </w:rPr>
        <w:t>4.术语和定义</w:t>
      </w:r>
    </w:p>
    <w:p>
      <w:pPr>
        <w:spacing w:line="560" w:lineRule="exact"/>
        <w:ind w:left="420" w:leftChars="200"/>
        <w:rPr>
          <w:rFonts w:ascii="宋体" w:hAnsi="宋体"/>
          <w:b/>
          <w:szCs w:val="21"/>
        </w:rPr>
      </w:pPr>
      <w:r>
        <w:rPr>
          <w:rFonts w:hint="eastAsia" w:ascii="宋体" w:hAnsi="宋体"/>
          <w:szCs w:val="21"/>
        </w:rPr>
        <w:t>认证的公正性</w:t>
      </w:r>
      <w:r>
        <w:rPr>
          <w:rFonts w:hint="eastAsia" w:ascii="宋体" w:hAnsi="宋体"/>
          <w:bCs/>
          <w:szCs w:val="21"/>
        </w:rPr>
        <w:t>：</w:t>
      </w:r>
      <w:r>
        <w:rPr>
          <w:rFonts w:hint="eastAsia" w:ascii="宋体" w:hAnsi="宋体"/>
          <w:szCs w:val="21"/>
        </w:rPr>
        <w:t>开展认证工作可能存在的利益冲突已识别或已解决，不会对公司的后续活动产生不利影响。</w:t>
      </w:r>
    </w:p>
    <w:p>
      <w:pPr>
        <w:spacing w:line="560" w:lineRule="exact"/>
        <w:ind w:left="420" w:leftChars="200"/>
        <w:rPr>
          <w:rFonts w:ascii="宋体" w:hAnsi="宋体"/>
          <w:bCs/>
          <w:szCs w:val="21"/>
        </w:rPr>
      </w:pPr>
      <w:r>
        <w:rPr>
          <w:rFonts w:hint="eastAsia" w:ascii="宋体" w:hAnsi="宋体"/>
          <w:szCs w:val="21"/>
        </w:rPr>
        <w:t>密级决定人</w:t>
      </w:r>
      <w:r>
        <w:rPr>
          <w:rFonts w:hint="eastAsia" w:ascii="宋体" w:hAnsi="宋体"/>
          <w:bCs/>
          <w:szCs w:val="21"/>
        </w:rPr>
        <w:t>：有权对需要保密的信息规定保密级别的人员。如文件签发人、会议主持人、公司各部门、审核组长。</w:t>
      </w:r>
    </w:p>
    <w:p>
      <w:pPr>
        <w:spacing w:line="560" w:lineRule="exact"/>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 xml:space="preserve"> </w:t>
      </w:r>
      <w:r>
        <w:rPr>
          <w:rFonts w:hint="eastAsia" w:asciiTheme="minorEastAsia" w:hAnsiTheme="minorEastAsia" w:eastAsiaTheme="minorEastAsia"/>
          <w:b/>
          <w:sz w:val="24"/>
        </w:rPr>
        <w:t>职责</w:t>
      </w:r>
    </w:p>
    <w:p>
      <w:pPr>
        <w:autoSpaceDE w:val="0"/>
        <w:autoSpaceDN w:val="0"/>
        <w:adjustRightInd w:val="0"/>
        <w:spacing w:line="560" w:lineRule="exact"/>
        <w:ind w:left="420" w:leftChars="200"/>
        <w:jc w:val="left"/>
        <w:rPr>
          <w:rFonts w:cs="黑体" w:asciiTheme="minorEastAsia" w:hAnsiTheme="minorEastAsia" w:eastAsiaTheme="minorEastAsia"/>
          <w:kern w:val="0"/>
          <w:szCs w:val="21"/>
        </w:rPr>
      </w:pPr>
      <w:r>
        <w:rPr>
          <w:rFonts w:hint="eastAsia" w:cs="黑体" w:asciiTheme="minorEastAsia" w:hAnsiTheme="minorEastAsia" w:eastAsiaTheme="minorEastAsia"/>
          <w:b/>
          <w:kern w:val="0"/>
          <w:szCs w:val="21"/>
        </w:rPr>
        <w:t>5.1</w:t>
      </w:r>
      <w:r>
        <w:rPr>
          <w:rFonts w:hint="eastAsia" w:cs="黑体" w:asciiTheme="minorEastAsia" w:hAnsiTheme="minorEastAsia" w:eastAsiaTheme="minorEastAsia"/>
          <w:kern w:val="0"/>
          <w:szCs w:val="21"/>
        </w:rPr>
        <w:t xml:space="preserve"> 总经理提出保持公正性的方针、政策，并对认证活动的公正性作</w:t>
      </w:r>
      <w:r>
        <w:rPr>
          <w:rFonts w:hint="eastAsia" w:cs="宋体" w:asciiTheme="minorEastAsia" w:hAnsiTheme="minorEastAsia" w:eastAsiaTheme="minorEastAsia"/>
          <w:kern w:val="0"/>
          <w:szCs w:val="21"/>
        </w:rPr>
        <w:t>出书面承诺，</w:t>
      </w:r>
      <w:r>
        <w:rPr>
          <w:rFonts w:hint="eastAsia" w:cs="黑体" w:asciiTheme="minorEastAsia" w:hAnsiTheme="minorEastAsia" w:eastAsiaTheme="minorEastAsia"/>
          <w:kern w:val="0"/>
          <w:szCs w:val="21"/>
        </w:rPr>
        <w:t>确定保持认证活动公正运作的组织结构和职责。</w:t>
      </w:r>
    </w:p>
    <w:p>
      <w:pPr>
        <w:autoSpaceDE w:val="0"/>
        <w:autoSpaceDN w:val="0"/>
        <w:adjustRightInd w:val="0"/>
        <w:spacing w:line="560" w:lineRule="exact"/>
        <w:ind w:left="420" w:leftChars="200"/>
        <w:jc w:val="left"/>
        <w:rPr>
          <w:rFonts w:cs="黑体" w:asciiTheme="minorEastAsia" w:hAnsiTheme="minorEastAsia" w:eastAsiaTheme="minorEastAsia"/>
          <w:kern w:val="0"/>
          <w:szCs w:val="21"/>
        </w:rPr>
      </w:pPr>
      <w:r>
        <w:rPr>
          <w:rFonts w:hint="eastAsia" w:cs="黑体" w:asciiTheme="minorEastAsia" w:hAnsiTheme="minorEastAsia" w:eastAsiaTheme="minorEastAsia"/>
          <w:b/>
          <w:kern w:val="0"/>
          <w:szCs w:val="21"/>
        </w:rPr>
        <w:t xml:space="preserve">5.2 </w:t>
      </w:r>
      <w:r>
        <w:rPr>
          <w:rFonts w:hint="eastAsia" w:asciiTheme="minorEastAsia" w:hAnsiTheme="minorEastAsia" w:eastAsiaTheme="minorEastAsia"/>
          <w:szCs w:val="21"/>
        </w:rPr>
        <w:t>维护公正性管理委员会参与制定公司认证公正性有关的方针、政策；</w:t>
      </w:r>
      <w:r>
        <w:rPr>
          <w:rFonts w:hint="eastAsia" w:cs="Arial" w:asciiTheme="minorEastAsia" w:hAnsiTheme="minorEastAsia" w:eastAsiaTheme="minorEastAsia"/>
          <w:szCs w:val="21"/>
        </w:rPr>
        <w:t>对可能影响公正性的事项进行监督</w:t>
      </w:r>
      <w:r>
        <w:rPr>
          <w:rFonts w:hint="eastAsia" w:asciiTheme="minorEastAsia" w:hAnsiTheme="minorEastAsia" w:eastAsiaTheme="minorEastAsia"/>
          <w:szCs w:val="21"/>
        </w:rPr>
        <w:t>。</w:t>
      </w:r>
    </w:p>
    <w:p>
      <w:pPr>
        <w:autoSpaceDE w:val="0"/>
        <w:autoSpaceDN w:val="0"/>
        <w:adjustRightInd w:val="0"/>
        <w:spacing w:line="560" w:lineRule="exact"/>
        <w:ind w:firstLine="422" w:firstLineChars="200"/>
        <w:jc w:val="left"/>
        <w:rPr>
          <w:rFonts w:cs="黑体" w:asciiTheme="minorEastAsia" w:hAnsiTheme="minorEastAsia" w:eastAsiaTheme="minorEastAsia"/>
          <w:kern w:val="0"/>
          <w:szCs w:val="21"/>
        </w:rPr>
      </w:pPr>
      <w:r>
        <w:rPr>
          <w:rFonts w:hint="eastAsia" w:cs="黑体" w:asciiTheme="minorEastAsia" w:hAnsiTheme="minorEastAsia" w:eastAsiaTheme="minorEastAsia"/>
          <w:b/>
          <w:kern w:val="0"/>
          <w:szCs w:val="21"/>
        </w:rPr>
        <w:t>5.3</w:t>
      </w:r>
      <w:r>
        <w:rPr>
          <w:rFonts w:cs="黑体" w:asciiTheme="minorEastAsia" w:hAnsiTheme="minorEastAsia" w:eastAsiaTheme="minorEastAsia"/>
          <w:kern w:val="0"/>
          <w:szCs w:val="21"/>
        </w:rPr>
        <w:t xml:space="preserve"> </w:t>
      </w:r>
      <w:r>
        <w:rPr>
          <w:rFonts w:hint="eastAsia" w:cs="黑体" w:asciiTheme="minorEastAsia" w:hAnsiTheme="minorEastAsia" w:eastAsiaTheme="minorEastAsia"/>
          <w:kern w:val="0"/>
          <w:szCs w:val="21"/>
        </w:rPr>
        <w:t>技术部负责组织各部门识别威胁公正性的相关因素，采取控制措施。</w:t>
      </w:r>
    </w:p>
    <w:p>
      <w:pPr>
        <w:spacing w:line="560" w:lineRule="exact"/>
        <w:ind w:firstLine="422" w:firstLineChars="200"/>
        <w:rPr>
          <w:rFonts w:asciiTheme="minorEastAsia" w:hAnsiTheme="minorEastAsia" w:eastAsiaTheme="minorEastAsia"/>
          <w:szCs w:val="21"/>
        </w:rPr>
      </w:pPr>
      <w:r>
        <w:rPr>
          <w:rFonts w:hint="eastAsia" w:cs="黑体" w:asciiTheme="minorEastAsia" w:hAnsiTheme="minorEastAsia" w:eastAsiaTheme="minorEastAsia"/>
          <w:b/>
          <w:kern w:val="0"/>
          <w:szCs w:val="21"/>
        </w:rPr>
        <w:t>5.4</w:t>
      </w:r>
      <w:r>
        <w:rPr>
          <w:rFonts w:cs="黑体" w:asciiTheme="minorEastAsia" w:hAnsiTheme="minorEastAsia" w:eastAsiaTheme="minorEastAsia"/>
          <w:kern w:val="0"/>
          <w:szCs w:val="21"/>
        </w:rPr>
        <w:t xml:space="preserve"> </w:t>
      </w:r>
      <w:r>
        <w:rPr>
          <w:rFonts w:hint="eastAsia" w:cs="黑体" w:asciiTheme="minorEastAsia" w:hAnsiTheme="minorEastAsia" w:eastAsiaTheme="minorEastAsia"/>
          <w:kern w:val="0"/>
          <w:szCs w:val="21"/>
        </w:rPr>
        <w:t>各部门对威胁认证公正性因素进行控制。</w:t>
      </w:r>
    </w:p>
    <w:p>
      <w:pPr>
        <w:autoSpaceDE w:val="0"/>
        <w:autoSpaceDN w:val="0"/>
        <w:adjustRightInd w:val="0"/>
        <w:spacing w:line="560" w:lineRule="exact"/>
        <w:ind w:firstLine="422" w:firstLineChars="200"/>
        <w:jc w:val="left"/>
        <w:rPr>
          <w:rFonts w:cs="黑体" w:asciiTheme="minorEastAsia" w:hAnsiTheme="minorEastAsia" w:eastAsiaTheme="minorEastAsia"/>
          <w:kern w:val="0"/>
          <w:szCs w:val="21"/>
        </w:rPr>
      </w:pPr>
      <w:r>
        <w:rPr>
          <w:rFonts w:hint="eastAsia" w:cs="黑体" w:asciiTheme="minorEastAsia" w:hAnsiTheme="minorEastAsia" w:eastAsiaTheme="minorEastAsia"/>
          <w:b/>
          <w:kern w:val="0"/>
          <w:szCs w:val="21"/>
        </w:rPr>
        <w:t>5.5</w:t>
      </w:r>
      <w:r>
        <w:rPr>
          <w:rFonts w:cs="黑体" w:asciiTheme="minorEastAsia" w:hAnsiTheme="minorEastAsia" w:eastAsiaTheme="minorEastAsia"/>
          <w:kern w:val="0"/>
          <w:szCs w:val="21"/>
        </w:rPr>
        <w:t xml:space="preserve"> </w:t>
      </w:r>
      <w:r>
        <w:rPr>
          <w:rFonts w:hint="eastAsia" w:cs="黑体" w:asciiTheme="minorEastAsia" w:hAnsiTheme="minorEastAsia" w:eastAsiaTheme="minorEastAsia"/>
          <w:kern w:val="0"/>
          <w:szCs w:val="21"/>
        </w:rPr>
        <w:t>综合部是保密工作的主管部门，按职责实施保密管理并提出改进意见。</w:t>
      </w:r>
    </w:p>
    <w:p>
      <w:pPr>
        <w:spacing w:line="560" w:lineRule="exact"/>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 xml:space="preserve"> </w:t>
      </w:r>
      <w:r>
        <w:rPr>
          <w:rFonts w:hint="eastAsia" w:asciiTheme="minorEastAsia" w:hAnsiTheme="minorEastAsia" w:eastAsiaTheme="minorEastAsia"/>
          <w:b/>
          <w:sz w:val="24"/>
        </w:rPr>
        <w:t>认证公正性管理</w:t>
      </w:r>
    </w:p>
    <w:p>
      <w:pPr>
        <w:autoSpaceDE w:val="0"/>
        <w:autoSpaceDN w:val="0"/>
        <w:adjustRightInd w:val="0"/>
        <w:spacing w:line="560" w:lineRule="exact"/>
        <w:ind w:left="420" w:leftChars="200"/>
        <w:jc w:val="left"/>
        <w:rPr>
          <w:rFonts w:cs="宋体" w:asciiTheme="minorEastAsia" w:hAnsiTheme="minorEastAsia" w:eastAsiaTheme="minorEastAsia"/>
          <w:kern w:val="0"/>
          <w:szCs w:val="21"/>
        </w:rPr>
      </w:pPr>
      <w:r>
        <w:rPr>
          <w:rFonts w:hint="eastAsia" w:cs="黑体" w:asciiTheme="minorEastAsia" w:hAnsiTheme="minorEastAsia" w:eastAsiaTheme="minorEastAsia"/>
          <w:b/>
          <w:kern w:val="0"/>
          <w:szCs w:val="21"/>
        </w:rPr>
        <w:t>6.1</w:t>
      </w:r>
      <w:r>
        <w:rPr>
          <w:rFonts w:hint="eastAsia" w:cs="宋体" w:asciiTheme="minorEastAsia" w:hAnsiTheme="minorEastAsia" w:eastAsiaTheme="minorEastAsia"/>
          <w:kern w:val="0"/>
          <w:szCs w:val="21"/>
        </w:rPr>
        <w:t xml:space="preserve"> 技术部负责组织各部门识别和分析</w:t>
      </w:r>
      <w:r>
        <w:rPr>
          <w:rFonts w:hint="eastAsia" w:asciiTheme="minorEastAsia" w:hAnsiTheme="minorEastAsia" w:eastAsiaTheme="minorEastAsia"/>
          <w:szCs w:val="21"/>
        </w:rPr>
        <w:t>由认证活动引起的利益冲突的可能性</w:t>
      </w:r>
      <w:r>
        <w:rPr>
          <w:rFonts w:hint="eastAsia" w:cs="宋体" w:asciiTheme="minorEastAsia" w:hAnsiTheme="minorEastAsia" w:eastAsiaTheme="minorEastAsia"/>
          <w:kern w:val="0"/>
          <w:szCs w:val="21"/>
        </w:rPr>
        <w:t>，包括：机构的所有权、法人治理结构、管理层、人员、共享资源、财务、合同、营销以及给介绍新客户的人销售佣金或其他好处等，</w:t>
      </w:r>
      <w:r>
        <w:rPr>
          <w:rFonts w:hint="eastAsia" w:asciiTheme="minorEastAsia" w:hAnsiTheme="minorEastAsia" w:eastAsiaTheme="minorEastAsia"/>
          <w:szCs w:val="21"/>
        </w:rPr>
        <w:t>并根据分析结果形成《年度机构公正性分析报告》</w:t>
      </w:r>
      <w:r>
        <w:rPr>
          <w:rFonts w:hint="eastAsia" w:cs="宋体" w:asciiTheme="minorEastAsia" w:hAnsiTheme="minorEastAsia" w:eastAsiaTheme="minorEastAsia"/>
          <w:kern w:val="0"/>
          <w:szCs w:val="21"/>
        </w:rPr>
        <w:t>。</w:t>
      </w:r>
    </w:p>
    <w:p>
      <w:pPr>
        <w:autoSpaceDE w:val="0"/>
        <w:autoSpaceDN w:val="0"/>
        <w:adjustRightInd w:val="0"/>
        <w:spacing w:line="560" w:lineRule="exact"/>
        <w:ind w:firstLine="422" w:firstLineChars="200"/>
        <w:jc w:val="left"/>
        <w:rPr>
          <w:rFonts w:cs="黑体" w:asciiTheme="minorEastAsia" w:hAnsiTheme="minorEastAsia" w:eastAsiaTheme="minorEastAsia"/>
          <w:b/>
          <w:kern w:val="0"/>
          <w:szCs w:val="21"/>
        </w:rPr>
      </w:pPr>
      <w:r>
        <w:rPr>
          <w:rFonts w:hint="eastAsia" w:cs="黑体" w:asciiTheme="minorEastAsia" w:hAnsiTheme="minorEastAsia" w:eastAsiaTheme="minorEastAsia"/>
          <w:b/>
          <w:kern w:val="0"/>
          <w:szCs w:val="21"/>
        </w:rPr>
        <w:t>6.2</w:t>
      </w:r>
      <w:r>
        <w:rPr>
          <w:rFonts w:cs="黑体" w:asciiTheme="minorEastAsia" w:hAnsiTheme="minorEastAsia" w:eastAsiaTheme="minorEastAsia"/>
          <w:b/>
          <w:kern w:val="0"/>
          <w:szCs w:val="21"/>
        </w:rPr>
        <w:t xml:space="preserve"> </w:t>
      </w:r>
      <w:r>
        <w:rPr>
          <w:rFonts w:hint="eastAsia" w:cs="黑体" w:asciiTheme="minorEastAsia" w:hAnsiTheme="minorEastAsia" w:eastAsiaTheme="minorEastAsia"/>
          <w:b/>
          <w:kern w:val="0"/>
          <w:szCs w:val="21"/>
        </w:rPr>
        <w:t>认证受理的公正性管理</w:t>
      </w:r>
    </w:p>
    <w:p>
      <w:pPr>
        <w:autoSpaceDE w:val="0"/>
        <w:autoSpaceDN w:val="0"/>
        <w:adjustRightInd w:val="0"/>
        <w:spacing w:line="560" w:lineRule="exact"/>
        <w:ind w:firstLine="422" w:firstLineChars="200"/>
        <w:jc w:val="left"/>
        <w:rPr>
          <w:rFonts w:cs="宋体" w:asciiTheme="minorEastAsia" w:hAnsiTheme="minorEastAsia" w:eastAsiaTheme="minorEastAsia"/>
          <w:kern w:val="0"/>
          <w:szCs w:val="21"/>
        </w:rPr>
      </w:pPr>
      <w:r>
        <w:rPr>
          <w:rFonts w:hint="eastAsia" w:cs="黑体" w:asciiTheme="minorEastAsia" w:hAnsiTheme="minorEastAsia" w:eastAsiaTheme="minorEastAsia"/>
          <w:b/>
          <w:kern w:val="0"/>
          <w:szCs w:val="21"/>
        </w:rPr>
        <w:t>6.2.1</w:t>
      </w:r>
      <w:r>
        <w:rPr>
          <w:rFonts w:cs="黑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公司不对另一认证机构的管理体系认证活动进行认证。</w:t>
      </w:r>
    </w:p>
    <w:p>
      <w:pPr>
        <w:autoSpaceDE w:val="0"/>
        <w:autoSpaceDN w:val="0"/>
        <w:adjustRightInd w:val="0"/>
        <w:spacing w:line="560" w:lineRule="exact"/>
        <w:ind w:left="420" w:leftChars="200"/>
        <w:jc w:val="left"/>
        <w:rPr>
          <w:rFonts w:cs="宋体" w:asciiTheme="minorEastAsia" w:hAnsiTheme="minorEastAsia" w:eastAsiaTheme="minorEastAsia"/>
          <w:kern w:val="0"/>
          <w:szCs w:val="21"/>
        </w:rPr>
      </w:pPr>
      <w:r>
        <w:rPr>
          <w:rFonts w:hint="eastAsia" w:cs="黑体" w:asciiTheme="minorEastAsia" w:hAnsiTheme="minorEastAsia" w:eastAsiaTheme="minorEastAsia"/>
          <w:b/>
          <w:kern w:val="0"/>
          <w:szCs w:val="21"/>
        </w:rPr>
        <w:t>6.2.2</w:t>
      </w:r>
      <w:r>
        <w:rPr>
          <w:rFonts w:cs="黑体" w:asciiTheme="minorEastAsia" w:hAnsiTheme="minorEastAsia" w:eastAsiaTheme="minorEastAsia"/>
          <w:b/>
          <w:kern w:val="0"/>
          <w:szCs w:val="21"/>
        </w:rPr>
        <w:t xml:space="preserve"> </w:t>
      </w:r>
      <w:r>
        <w:rPr>
          <w:rFonts w:hint="eastAsia" w:cs="宋体" w:asciiTheme="minorEastAsia" w:hAnsiTheme="minorEastAsia" w:eastAsiaTheme="minorEastAsia"/>
          <w:kern w:val="0"/>
          <w:szCs w:val="21"/>
        </w:rPr>
        <w:t>公司不提供或推荐管理体系咨询，不为其提供和设计认证类型产品，也不为管理体系咨询提供报价。</w:t>
      </w:r>
    </w:p>
    <w:p>
      <w:pPr>
        <w:autoSpaceDE w:val="0"/>
        <w:autoSpaceDN w:val="0"/>
        <w:adjustRightInd w:val="0"/>
        <w:spacing w:line="560" w:lineRule="exact"/>
        <w:ind w:firstLine="422" w:firstLineChars="200"/>
        <w:jc w:val="left"/>
        <w:rPr>
          <w:rFonts w:cs="宋体" w:asciiTheme="minorEastAsia" w:hAnsiTheme="minorEastAsia" w:eastAsiaTheme="minorEastAsia"/>
          <w:kern w:val="0"/>
          <w:szCs w:val="21"/>
        </w:rPr>
      </w:pPr>
      <w:r>
        <w:rPr>
          <w:rFonts w:hint="eastAsia" w:cs="黑体" w:asciiTheme="minorEastAsia" w:hAnsiTheme="minorEastAsia" w:eastAsiaTheme="minorEastAsia"/>
          <w:b/>
          <w:kern w:val="0"/>
          <w:szCs w:val="21"/>
        </w:rPr>
        <w:t>6.2.3</w:t>
      </w:r>
      <w:r>
        <w:rPr>
          <w:rFonts w:cs="黑体" w:asciiTheme="minorEastAsia" w:hAnsiTheme="minorEastAsia" w:eastAsiaTheme="minorEastAsia"/>
          <w:b/>
          <w:kern w:val="0"/>
          <w:szCs w:val="21"/>
        </w:rPr>
        <w:t xml:space="preserve"> </w:t>
      </w:r>
      <w:r>
        <w:rPr>
          <w:rFonts w:hint="eastAsia" w:cs="宋体" w:asciiTheme="minorEastAsia" w:hAnsiTheme="minorEastAsia" w:eastAsiaTheme="minorEastAsia"/>
          <w:kern w:val="0"/>
          <w:szCs w:val="21"/>
        </w:rPr>
        <w:t>公司不向获证客户提供内部审核。</w:t>
      </w:r>
    </w:p>
    <w:p>
      <w:pPr>
        <w:autoSpaceDE w:val="0"/>
        <w:autoSpaceDN w:val="0"/>
        <w:adjustRightInd w:val="0"/>
        <w:spacing w:line="560" w:lineRule="exact"/>
        <w:ind w:left="420" w:leftChars="200"/>
        <w:jc w:val="left"/>
        <w:rPr>
          <w:rFonts w:cs="宋体" w:asciiTheme="minorEastAsia" w:hAnsiTheme="minorEastAsia" w:eastAsiaTheme="minorEastAsia"/>
          <w:kern w:val="0"/>
          <w:szCs w:val="21"/>
        </w:rPr>
      </w:pPr>
      <w:r>
        <w:rPr>
          <w:rFonts w:hint="eastAsia" w:cs="黑体" w:asciiTheme="minorEastAsia" w:hAnsiTheme="minorEastAsia" w:eastAsiaTheme="minorEastAsia"/>
          <w:b/>
          <w:kern w:val="0"/>
          <w:szCs w:val="21"/>
        </w:rPr>
        <w:t>6.2.4</w:t>
      </w:r>
      <w:r>
        <w:rPr>
          <w:rFonts w:cs="黑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如客户接受了可能对公司认证的公正性构成威胁的咨询机构实施的管理体系咨询或内部审核，则不对其进行认证。</w:t>
      </w:r>
    </w:p>
    <w:p>
      <w:pPr>
        <w:autoSpaceDE w:val="0"/>
        <w:autoSpaceDN w:val="0"/>
        <w:adjustRightInd w:val="0"/>
        <w:spacing w:line="560" w:lineRule="exact"/>
        <w:ind w:left="420" w:leftChars="200"/>
        <w:jc w:val="left"/>
        <w:rPr>
          <w:rFonts w:cs="宋体" w:asciiTheme="minorEastAsia" w:hAnsiTheme="minorEastAsia" w:eastAsiaTheme="minorEastAsia"/>
          <w:kern w:val="0"/>
          <w:szCs w:val="21"/>
        </w:rPr>
      </w:pPr>
      <w:r>
        <w:rPr>
          <w:rFonts w:hint="eastAsia" w:cs="黑体" w:asciiTheme="minorEastAsia" w:hAnsiTheme="minorEastAsia" w:eastAsiaTheme="minorEastAsia"/>
          <w:b/>
          <w:kern w:val="0"/>
          <w:szCs w:val="21"/>
        </w:rPr>
        <w:t>6.2.5</w:t>
      </w:r>
      <w:r>
        <w:rPr>
          <w:rFonts w:cs="黑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公司的事业部或报价不与咨询机构的活动相联系，不向认证申请组织宣称或暗示选择某家咨询机构将使认证更为简单、容易、迅速或廉价。</w:t>
      </w:r>
    </w:p>
    <w:p>
      <w:pPr>
        <w:autoSpaceDE w:val="0"/>
        <w:autoSpaceDN w:val="0"/>
        <w:adjustRightInd w:val="0"/>
        <w:spacing w:line="560" w:lineRule="exact"/>
        <w:ind w:left="420" w:leftChars="200"/>
        <w:jc w:val="left"/>
        <w:rPr>
          <w:rFonts w:cs="宋体" w:asciiTheme="minorEastAsia" w:hAnsiTheme="minorEastAsia" w:eastAsiaTheme="minorEastAsia"/>
          <w:kern w:val="0"/>
          <w:szCs w:val="21"/>
        </w:rPr>
      </w:pPr>
      <w:r>
        <w:rPr>
          <w:rFonts w:hint="eastAsia" w:cs="黑体" w:asciiTheme="minorEastAsia" w:hAnsiTheme="minorEastAsia" w:eastAsiaTheme="minorEastAsia"/>
          <w:b/>
          <w:kern w:val="0"/>
          <w:szCs w:val="21"/>
        </w:rPr>
        <w:t>6.2.6</w:t>
      </w:r>
      <w:r>
        <w:rPr>
          <w:rFonts w:hint="eastAsia" w:cs="宋体" w:asciiTheme="minorEastAsia" w:hAnsiTheme="minorEastAsia" w:eastAsiaTheme="minorEastAsia"/>
          <w:kern w:val="0"/>
          <w:szCs w:val="21"/>
        </w:rPr>
        <w:t xml:space="preserve"> 在实施受理前，公司合同评审人员在进行申请评审时充分考虑申请的认证范围、申请组织、咨询机构和人员等信息，识别公正性的威胁，采取控制措施。</w:t>
      </w:r>
    </w:p>
    <w:p>
      <w:pPr>
        <w:autoSpaceDE w:val="0"/>
        <w:autoSpaceDN w:val="0"/>
        <w:adjustRightInd w:val="0"/>
        <w:spacing w:line="560" w:lineRule="exact"/>
        <w:ind w:left="420" w:leftChars="200"/>
        <w:jc w:val="left"/>
        <w:rPr>
          <w:rFonts w:cs="宋体" w:asciiTheme="minorEastAsia" w:hAnsiTheme="minorEastAsia" w:eastAsiaTheme="minorEastAsia"/>
          <w:kern w:val="0"/>
          <w:szCs w:val="21"/>
        </w:rPr>
      </w:pPr>
      <w:r>
        <w:rPr>
          <w:rFonts w:hint="eastAsia" w:cs="黑体" w:asciiTheme="minorEastAsia" w:hAnsiTheme="minorEastAsia" w:eastAsiaTheme="minorEastAsia"/>
          <w:b/>
          <w:kern w:val="0"/>
          <w:szCs w:val="21"/>
        </w:rPr>
        <w:t>6.2.7</w:t>
      </w:r>
      <w:r>
        <w:rPr>
          <w:rFonts w:cs="黑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公司始终不受商业、财务和其他方面压力的损害公正性。</w:t>
      </w:r>
    </w:p>
    <w:p>
      <w:pPr>
        <w:autoSpaceDE w:val="0"/>
        <w:autoSpaceDN w:val="0"/>
        <w:adjustRightInd w:val="0"/>
        <w:spacing w:line="560" w:lineRule="exact"/>
        <w:ind w:firstLine="422" w:firstLineChars="200"/>
        <w:jc w:val="left"/>
        <w:rPr>
          <w:rFonts w:cs="黑体" w:asciiTheme="minorEastAsia" w:hAnsiTheme="minorEastAsia" w:eastAsiaTheme="minorEastAsia"/>
          <w:b/>
          <w:kern w:val="0"/>
          <w:szCs w:val="21"/>
        </w:rPr>
      </w:pPr>
      <w:r>
        <w:rPr>
          <w:rFonts w:hint="eastAsia" w:cs="黑体" w:asciiTheme="minorEastAsia" w:hAnsiTheme="minorEastAsia" w:eastAsiaTheme="minorEastAsia"/>
          <w:b/>
          <w:kern w:val="0"/>
          <w:szCs w:val="21"/>
        </w:rPr>
        <w:t>6.3 认证人员的公正性管理</w:t>
      </w:r>
    </w:p>
    <w:p>
      <w:pPr>
        <w:autoSpaceDE w:val="0"/>
        <w:autoSpaceDN w:val="0"/>
        <w:adjustRightInd w:val="0"/>
        <w:spacing w:line="560" w:lineRule="exact"/>
        <w:ind w:left="420" w:leftChars="200"/>
        <w:jc w:val="left"/>
        <w:rPr>
          <w:rFonts w:cs="宋体" w:asciiTheme="minorEastAsia" w:hAnsiTheme="minorEastAsia" w:eastAsiaTheme="minorEastAsia"/>
          <w:kern w:val="0"/>
          <w:szCs w:val="21"/>
        </w:rPr>
      </w:pPr>
      <w:r>
        <w:rPr>
          <w:rFonts w:hint="eastAsia" w:cs="黑体" w:asciiTheme="minorEastAsia" w:hAnsiTheme="minorEastAsia" w:eastAsiaTheme="minorEastAsia"/>
          <w:b/>
          <w:kern w:val="0"/>
          <w:szCs w:val="21"/>
        </w:rPr>
        <w:t>6.3.1</w:t>
      </w:r>
      <w:r>
        <w:rPr>
          <w:rFonts w:cs="黑体" w:asciiTheme="minorEastAsia" w:hAnsiTheme="minorEastAsia" w:eastAsiaTheme="minorEastAsia"/>
          <w:b/>
          <w:kern w:val="0"/>
          <w:szCs w:val="21"/>
        </w:rPr>
        <w:t xml:space="preserve"> </w:t>
      </w:r>
      <w:r>
        <w:rPr>
          <w:rFonts w:hint="eastAsia" w:cs="宋体" w:asciiTheme="minorEastAsia" w:hAnsiTheme="minorEastAsia" w:eastAsiaTheme="minorEastAsia"/>
          <w:kern w:val="0"/>
          <w:szCs w:val="21"/>
        </w:rPr>
        <w:t>公司所有可以影响认证活动的人员（内部或外部的）和维护公正性的管理委员会应公正履行职责，不允许受商业、财务或其他方面的压力损害公正性，并对公正性作出承诺。</w:t>
      </w:r>
    </w:p>
    <w:p>
      <w:pPr>
        <w:autoSpaceDE w:val="0"/>
        <w:autoSpaceDN w:val="0"/>
        <w:adjustRightInd w:val="0"/>
        <w:spacing w:line="560" w:lineRule="exact"/>
        <w:ind w:left="420" w:leftChars="200"/>
        <w:jc w:val="left"/>
        <w:rPr>
          <w:rFonts w:cs="宋体" w:asciiTheme="minorEastAsia" w:hAnsiTheme="minorEastAsia" w:eastAsiaTheme="minorEastAsia"/>
          <w:kern w:val="0"/>
          <w:szCs w:val="21"/>
        </w:rPr>
      </w:pPr>
      <w:r>
        <w:rPr>
          <w:rFonts w:hint="eastAsia" w:cs="黑体" w:asciiTheme="minorEastAsia" w:hAnsiTheme="minorEastAsia" w:eastAsiaTheme="minorEastAsia"/>
          <w:b/>
          <w:kern w:val="0"/>
          <w:szCs w:val="21"/>
        </w:rPr>
        <w:t>6.3.2</w:t>
      </w:r>
      <w:r>
        <w:rPr>
          <w:rFonts w:hint="eastAsia" w:cs="宋体" w:asciiTheme="minorEastAsia" w:hAnsiTheme="minorEastAsia" w:eastAsiaTheme="minorEastAsia"/>
          <w:kern w:val="0"/>
          <w:szCs w:val="21"/>
        </w:rPr>
        <w:t xml:space="preserve"> 综合部要求外部审核员和外部技术专家通过书面协议承诺其遵守认证机构适用的政策和程序。该协议含有关于保密及独立于商业和其他利益的条款，并要求外部审核员和外部技术专家向认证机构说明现在或以前与可能派其审核的组织的关系。</w:t>
      </w:r>
    </w:p>
    <w:p>
      <w:pPr>
        <w:autoSpaceDE w:val="0"/>
        <w:autoSpaceDN w:val="0"/>
        <w:adjustRightInd w:val="0"/>
        <w:spacing w:line="560" w:lineRule="exact"/>
        <w:ind w:firstLine="422" w:firstLineChars="200"/>
        <w:jc w:val="left"/>
        <w:rPr>
          <w:rFonts w:cs="黑体" w:asciiTheme="minorEastAsia" w:hAnsiTheme="minorEastAsia" w:eastAsiaTheme="minorEastAsia"/>
          <w:b/>
          <w:kern w:val="0"/>
          <w:szCs w:val="21"/>
        </w:rPr>
      </w:pPr>
      <w:r>
        <w:rPr>
          <w:rFonts w:hint="eastAsia" w:cs="黑体" w:asciiTheme="minorEastAsia" w:hAnsiTheme="minorEastAsia" w:eastAsiaTheme="minorEastAsia"/>
          <w:b/>
          <w:kern w:val="0"/>
          <w:szCs w:val="21"/>
        </w:rPr>
        <w:t>6.4 认证审核的公正性管理</w:t>
      </w:r>
    </w:p>
    <w:p>
      <w:pPr>
        <w:autoSpaceDE w:val="0"/>
        <w:autoSpaceDN w:val="0"/>
        <w:adjustRightInd w:val="0"/>
        <w:spacing w:line="560" w:lineRule="exact"/>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6.4.1</w:t>
      </w:r>
      <w:r>
        <w:rPr>
          <w:rFonts w:hint="eastAsia" w:cs="宋体" w:asciiTheme="minorEastAsia" w:hAnsiTheme="minorEastAsia" w:eastAsiaTheme="minorEastAsia"/>
          <w:kern w:val="0"/>
          <w:szCs w:val="21"/>
        </w:rPr>
        <w:t xml:space="preserve"> 山东中梓富检认证有限公司不将审核外包给管理体系咨询机构或其他认证和审核机构。</w:t>
      </w:r>
    </w:p>
    <w:p>
      <w:pPr>
        <w:autoSpaceDE w:val="0"/>
        <w:autoSpaceDN w:val="0"/>
        <w:adjustRightInd w:val="0"/>
        <w:spacing w:line="560" w:lineRule="exact"/>
        <w:ind w:left="420" w:leftChars="200"/>
        <w:jc w:val="left"/>
        <w:rPr>
          <w:rFonts w:ascii="宋体" w:hAnsi="宋体" w:cs="宋体"/>
          <w:kern w:val="0"/>
          <w:sz w:val="24"/>
        </w:rPr>
      </w:pPr>
      <w:r>
        <w:rPr>
          <w:rFonts w:hint="eastAsia" w:cs="宋体" w:asciiTheme="minorEastAsia" w:hAnsiTheme="minorEastAsia" w:eastAsiaTheme="minorEastAsia"/>
          <w:b/>
          <w:kern w:val="0"/>
          <w:szCs w:val="21"/>
        </w:rPr>
        <w:t>6.4.2</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为确保没有利益冲突，</w:t>
      </w:r>
      <w:r>
        <w:rPr>
          <w:rFonts w:cs="宋体" w:asciiTheme="minorEastAsia" w:hAnsiTheme="minorEastAsia" w:eastAsiaTheme="minorEastAsia"/>
          <w:kern w:val="0"/>
          <w:szCs w:val="21"/>
        </w:rPr>
        <w:t>以下几类人员</w:t>
      </w:r>
      <w:r>
        <w:rPr>
          <w:rFonts w:hint="eastAsia" w:cs="宋体" w:asciiTheme="minorEastAsia" w:hAnsiTheme="minorEastAsia" w:eastAsiaTheme="minorEastAsia"/>
          <w:kern w:val="0"/>
          <w:szCs w:val="21"/>
        </w:rPr>
        <w:t>应主动告知认证部，以便于认证部</w:t>
      </w:r>
      <w:r>
        <w:rPr>
          <w:rFonts w:hint="eastAsia" w:ascii="宋体" w:hAnsi="宋体" w:cs="宋体"/>
          <w:kern w:val="0"/>
          <w:szCs w:val="21"/>
        </w:rPr>
        <w:t>不安排其对该客户的检查或其他认证活动：</w:t>
      </w:r>
    </w:p>
    <w:p>
      <w:pPr>
        <w:pStyle w:val="93"/>
        <w:numPr>
          <w:ilvl w:val="0"/>
          <w:numId w:val="11"/>
        </w:numPr>
        <w:autoSpaceDE w:val="0"/>
        <w:autoSpaceDN w:val="0"/>
        <w:adjustRightInd w:val="0"/>
        <w:spacing w:line="560" w:lineRule="exact"/>
        <w:ind w:left="0" w:firstLine="420"/>
        <w:rPr>
          <w:rFonts w:ascii="宋体" w:hAnsi="宋体" w:cs="宋体"/>
          <w:kern w:val="0"/>
          <w:szCs w:val="21"/>
        </w:rPr>
      </w:pPr>
      <w:r>
        <w:rPr>
          <w:rFonts w:hint="eastAsia" w:ascii="宋体" w:hAnsi="宋体" w:cs="宋体"/>
          <w:kern w:val="0"/>
          <w:szCs w:val="21"/>
        </w:rPr>
        <w:t>两年内咨询过的受审核方；</w:t>
      </w:r>
    </w:p>
    <w:p>
      <w:pPr>
        <w:pStyle w:val="93"/>
        <w:numPr>
          <w:ilvl w:val="0"/>
          <w:numId w:val="11"/>
        </w:numPr>
        <w:autoSpaceDE w:val="0"/>
        <w:autoSpaceDN w:val="0"/>
        <w:adjustRightInd w:val="0"/>
        <w:spacing w:line="560" w:lineRule="exact"/>
        <w:ind w:left="0" w:firstLine="420"/>
        <w:rPr>
          <w:rFonts w:ascii="宋体" w:hAnsi="宋体" w:cs="宋体"/>
          <w:kern w:val="0"/>
          <w:szCs w:val="21"/>
        </w:rPr>
      </w:pPr>
      <w:r>
        <w:rPr>
          <w:rFonts w:hint="eastAsia" w:ascii="宋体" w:hAnsi="宋体" w:cs="宋体"/>
          <w:kern w:val="0"/>
          <w:szCs w:val="21"/>
        </w:rPr>
        <w:t>两年内非公开课培训过的受审核方；</w:t>
      </w:r>
    </w:p>
    <w:p>
      <w:pPr>
        <w:pStyle w:val="93"/>
        <w:numPr>
          <w:ilvl w:val="0"/>
          <w:numId w:val="11"/>
        </w:numPr>
        <w:autoSpaceDE w:val="0"/>
        <w:autoSpaceDN w:val="0"/>
        <w:adjustRightInd w:val="0"/>
        <w:spacing w:line="560" w:lineRule="exact"/>
        <w:ind w:left="0" w:firstLine="420"/>
        <w:rPr>
          <w:rFonts w:ascii="宋体" w:hAnsi="宋体" w:cs="宋体"/>
          <w:kern w:val="0"/>
          <w:szCs w:val="21"/>
        </w:rPr>
      </w:pPr>
      <w:r>
        <w:rPr>
          <w:rFonts w:hint="eastAsia" w:ascii="宋体" w:hAnsi="宋体" w:cs="宋体"/>
          <w:kern w:val="0"/>
          <w:szCs w:val="21"/>
        </w:rPr>
        <w:t>离职两年内的受审核方；</w:t>
      </w:r>
    </w:p>
    <w:p>
      <w:pPr>
        <w:pStyle w:val="93"/>
        <w:numPr>
          <w:ilvl w:val="0"/>
          <w:numId w:val="11"/>
        </w:numPr>
        <w:autoSpaceDE w:val="0"/>
        <w:autoSpaceDN w:val="0"/>
        <w:adjustRightInd w:val="0"/>
        <w:spacing w:line="560" w:lineRule="exact"/>
        <w:ind w:left="0" w:firstLine="420"/>
        <w:rPr>
          <w:rFonts w:ascii="宋体" w:hAnsi="宋体" w:cs="宋体"/>
          <w:kern w:val="0"/>
          <w:szCs w:val="21"/>
        </w:rPr>
      </w:pPr>
      <w:r>
        <w:rPr>
          <w:rFonts w:hint="eastAsia" w:ascii="宋体" w:hAnsi="宋体" w:cs="宋体"/>
          <w:kern w:val="0"/>
          <w:szCs w:val="21"/>
        </w:rPr>
        <w:t>有本人股份或者有家庭成员在受审核方</w:t>
      </w:r>
      <w:r>
        <w:rPr>
          <w:rFonts w:ascii="宋体" w:hAnsi="宋体" w:cs="宋体"/>
          <w:kern w:val="0"/>
          <w:szCs w:val="21"/>
        </w:rPr>
        <w:t>/</w:t>
      </w:r>
      <w:r>
        <w:rPr>
          <w:rFonts w:hint="eastAsia" w:ascii="宋体" w:hAnsi="宋体" w:cs="宋体"/>
          <w:kern w:val="0"/>
          <w:szCs w:val="21"/>
        </w:rPr>
        <w:t>检查方工作的受审核方；</w:t>
      </w:r>
    </w:p>
    <w:p>
      <w:pPr>
        <w:pStyle w:val="93"/>
        <w:numPr>
          <w:ilvl w:val="0"/>
          <w:numId w:val="11"/>
        </w:numPr>
        <w:autoSpaceDE w:val="0"/>
        <w:autoSpaceDN w:val="0"/>
        <w:adjustRightInd w:val="0"/>
        <w:spacing w:line="560" w:lineRule="exact"/>
        <w:ind w:left="0" w:firstLine="420"/>
        <w:rPr>
          <w:rFonts w:ascii="宋体" w:hAnsi="宋体" w:cs="宋体"/>
          <w:kern w:val="0"/>
          <w:szCs w:val="21"/>
        </w:rPr>
      </w:pPr>
      <w:r>
        <w:rPr>
          <w:rFonts w:hint="eastAsia" w:ascii="宋体" w:hAnsi="宋体" w:cs="宋体"/>
          <w:kern w:val="0"/>
          <w:szCs w:val="21"/>
        </w:rPr>
        <w:t>兼职认证人员从业单位与受审核</w:t>
      </w:r>
      <w:r>
        <w:rPr>
          <w:rFonts w:ascii="宋体" w:hAnsi="宋体" w:cs="宋体"/>
          <w:kern w:val="0"/>
          <w:szCs w:val="21"/>
        </w:rPr>
        <w:t>/</w:t>
      </w:r>
      <w:r>
        <w:rPr>
          <w:rFonts w:hint="eastAsia" w:ascii="宋体" w:hAnsi="宋体" w:cs="宋体"/>
          <w:kern w:val="0"/>
          <w:szCs w:val="21"/>
        </w:rPr>
        <w:t>检查方存在同行竞争关系的；</w:t>
      </w:r>
    </w:p>
    <w:p>
      <w:pPr>
        <w:pStyle w:val="93"/>
        <w:numPr>
          <w:ilvl w:val="0"/>
          <w:numId w:val="11"/>
        </w:numPr>
        <w:autoSpaceDE w:val="0"/>
        <w:autoSpaceDN w:val="0"/>
        <w:adjustRightInd w:val="0"/>
        <w:spacing w:line="560" w:lineRule="exact"/>
        <w:ind w:left="0" w:firstLine="420"/>
        <w:rPr>
          <w:rFonts w:ascii="宋体" w:hAnsi="宋体" w:cs="宋体"/>
          <w:kern w:val="0"/>
          <w:szCs w:val="21"/>
        </w:rPr>
      </w:pPr>
      <w:r>
        <w:rPr>
          <w:rFonts w:hint="eastAsia" w:ascii="宋体" w:hAnsi="宋体" w:cs="宋体"/>
          <w:kern w:val="0"/>
          <w:szCs w:val="21"/>
        </w:rPr>
        <w:t>为客户提供或设计认证类型的产品的人员。</w:t>
      </w:r>
    </w:p>
    <w:p>
      <w:pPr>
        <w:autoSpaceDE w:val="0"/>
        <w:autoSpaceDN w:val="0"/>
        <w:adjustRightInd w:val="0"/>
        <w:spacing w:line="560" w:lineRule="exact"/>
        <w:ind w:firstLine="422" w:firstLineChars="200"/>
        <w:jc w:val="left"/>
        <w:rPr>
          <w:rFonts w:cs="黑体" w:asciiTheme="minorEastAsia" w:hAnsiTheme="minorEastAsia" w:eastAsiaTheme="minorEastAsia"/>
          <w:b/>
          <w:kern w:val="0"/>
          <w:szCs w:val="21"/>
        </w:rPr>
      </w:pPr>
      <w:r>
        <w:rPr>
          <w:rFonts w:hint="eastAsia" w:cs="黑体" w:asciiTheme="minorEastAsia" w:hAnsiTheme="minorEastAsia" w:eastAsiaTheme="minorEastAsia"/>
          <w:b/>
          <w:kern w:val="0"/>
          <w:szCs w:val="21"/>
        </w:rPr>
        <w:t>6.5 认证决定的公正性管理</w:t>
      </w:r>
    </w:p>
    <w:p>
      <w:pPr>
        <w:autoSpaceDE w:val="0"/>
        <w:autoSpaceDN w:val="0"/>
        <w:adjustRightInd w:val="0"/>
        <w:spacing w:line="560" w:lineRule="exact"/>
        <w:ind w:left="420" w:leftChars="200"/>
        <w:jc w:val="left"/>
        <w:rPr>
          <w:rFonts w:ascii="宋体" w:hAnsi="宋体" w:cs="宋体"/>
          <w:kern w:val="0"/>
          <w:szCs w:val="21"/>
        </w:rPr>
      </w:pPr>
      <w:r>
        <w:rPr>
          <w:rFonts w:hint="eastAsia" w:ascii="宋体" w:hAnsi="宋体" w:cs="宋体"/>
          <w:kern w:val="0"/>
          <w:szCs w:val="21"/>
        </w:rPr>
        <w:t>为确保认证决定的公正，参与了对客户管理体系咨询的人员（包括管理人员），在咨询结束后两年内，不安排其参与针对该客户的认证决定活动。为客户提供或设计认证类型的产品的人员，不安排其参与针对该客户的认证决定活动。</w:t>
      </w:r>
    </w:p>
    <w:p>
      <w:pPr>
        <w:autoSpaceDE w:val="0"/>
        <w:autoSpaceDN w:val="0"/>
        <w:adjustRightInd w:val="0"/>
        <w:spacing w:line="560" w:lineRule="exact"/>
        <w:ind w:firstLine="420" w:firstLineChars="200"/>
        <w:jc w:val="left"/>
        <w:rPr>
          <w:rFonts w:ascii="宋体" w:hAnsi="宋体" w:cs="宋体"/>
          <w:kern w:val="0"/>
          <w:szCs w:val="21"/>
        </w:rPr>
      </w:pPr>
      <w:r>
        <w:rPr>
          <w:rFonts w:hint="eastAsia" w:ascii="宋体" w:hAnsi="宋体" w:cs="宋体"/>
          <w:kern w:val="0"/>
          <w:szCs w:val="21"/>
        </w:rPr>
        <w:t>认证决定人员不参与自己审核的认证项目的认证决定活动。</w:t>
      </w:r>
    </w:p>
    <w:p>
      <w:pPr>
        <w:autoSpaceDE w:val="0"/>
        <w:autoSpaceDN w:val="0"/>
        <w:adjustRightInd w:val="0"/>
        <w:spacing w:line="560" w:lineRule="exact"/>
        <w:ind w:firstLine="422" w:firstLineChars="200"/>
        <w:jc w:val="left"/>
        <w:rPr>
          <w:rFonts w:cs="黑体" w:asciiTheme="minorEastAsia" w:hAnsiTheme="minorEastAsia" w:eastAsiaTheme="minorEastAsia"/>
          <w:b/>
          <w:kern w:val="0"/>
          <w:szCs w:val="21"/>
        </w:rPr>
      </w:pPr>
      <w:r>
        <w:rPr>
          <w:rFonts w:hint="eastAsia" w:cs="黑体" w:asciiTheme="minorEastAsia" w:hAnsiTheme="minorEastAsia" w:eastAsiaTheme="minorEastAsia"/>
          <w:b/>
          <w:kern w:val="0"/>
          <w:szCs w:val="21"/>
        </w:rPr>
        <w:t>6.6 申/投诉处理的公正性管理</w:t>
      </w:r>
    </w:p>
    <w:p>
      <w:pPr>
        <w:autoSpaceDE w:val="0"/>
        <w:autoSpaceDN w:val="0"/>
        <w:adjustRightInd w:val="0"/>
        <w:spacing w:line="560" w:lineRule="exact"/>
        <w:ind w:left="420" w:leftChars="200"/>
        <w:jc w:val="left"/>
        <w:rPr>
          <w:rFonts w:ascii="宋体" w:hAnsi="宋体" w:cs="宋体"/>
          <w:kern w:val="0"/>
          <w:szCs w:val="21"/>
        </w:rPr>
      </w:pPr>
      <w:r>
        <w:rPr>
          <w:rFonts w:hint="eastAsia" w:ascii="宋体" w:hAnsi="宋体" w:cs="宋体"/>
          <w:kern w:val="0"/>
          <w:szCs w:val="21"/>
        </w:rPr>
        <w:t>在进行申/投诉处理时，申/投诉的提出、调查和决定不具有针对申/投诉人的任何歧视行为。对申/投诉的调查、处理、决定由与申/投诉事项无关的人员做出，并将处理结果告知申/投诉人。</w:t>
      </w:r>
    </w:p>
    <w:p>
      <w:pPr>
        <w:autoSpaceDE w:val="0"/>
        <w:autoSpaceDN w:val="0"/>
        <w:adjustRightInd w:val="0"/>
        <w:spacing w:line="560" w:lineRule="exact"/>
        <w:ind w:firstLine="422" w:firstLineChars="200"/>
        <w:jc w:val="left"/>
        <w:rPr>
          <w:rFonts w:cs="黑体" w:asciiTheme="minorEastAsia" w:hAnsiTheme="minorEastAsia" w:eastAsiaTheme="minorEastAsia"/>
          <w:b/>
          <w:kern w:val="0"/>
          <w:szCs w:val="21"/>
        </w:rPr>
      </w:pPr>
      <w:r>
        <w:rPr>
          <w:rFonts w:hint="eastAsia" w:cs="黑体" w:asciiTheme="minorEastAsia" w:hAnsiTheme="minorEastAsia" w:eastAsiaTheme="minorEastAsia"/>
          <w:b/>
          <w:kern w:val="0"/>
          <w:szCs w:val="21"/>
        </w:rPr>
        <w:t>6.7</w:t>
      </w:r>
      <w:r>
        <w:rPr>
          <w:rFonts w:cs="黑体" w:asciiTheme="minorEastAsia" w:hAnsiTheme="minorEastAsia" w:eastAsiaTheme="minorEastAsia"/>
          <w:b/>
          <w:kern w:val="0"/>
          <w:szCs w:val="21"/>
        </w:rPr>
        <w:t xml:space="preserve"> </w:t>
      </w:r>
      <w:r>
        <w:rPr>
          <w:rFonts w:hint="eastAsia" w:cs="黑体" w:asciiTheme="minorEastAsia" w:hAnsiTheme="minorEastAsia" w:eastAsiaTheme="minorEastAsia"/>
          <w:b/>
          <w:kern w:val="0"/>
          <w:szCs w:val="21"/>
        </w:rPr>
        <w:t>公司加强顶层设计管理，确保不存在以下情况：</w:t>
      </w:r>
    </w:p>
    <w:p>
      <w:pPr>
        <w:autoSpaceDE w:val="0"/>
        <w:autoSpaceDN w:val="0"/>
        <w:adjustRightInd w:val="0"/>
        <w:spacing w:line="560" w:lineRule="exact"/>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6.7.1</w:t>
      </w:r>
      <w:r>
        <w:rPr>
          <w:rFonts w:cs="宋体" w:asciiTheme="minorEastAsia" w:hAnsiTheme="minorEastAsia" w:eastAsiaTheme="minorEastAsia"/>
          <w:b/>
          <w:kern w:val="0"/>
          <w:szCs w:val="21"/>
        </w:rPr>
        <w:t xml:space="preserve"> </w:t>
      </w:r>
      <w:r>
        <w:rPr>
          <w:rFonts w:hint="eastAsia" w:cs="宋体" w:asciiTheme="minorEastAsia" w:hAnsiTheme="minorEastAsia" w:eastAsiaTheme="minorEastAsia"/>
          <w:kern w:val="0"/>
          <w:szCs w:val="21"/>
        </w:rPr>
        <w:t>公司经营范围中含有可能对认证活动的客观公正产生影响的产品开发、营销等活动。</w:t>
      </w:r>
    </w:p>
    <w:p>
      <w:pPr>
        <w:autoSpaceDE w:val="0"/>
        <w:autoSpaceDN w:val="0"/>
        <w:adjustRightInd w:val="0"/>
        <w:spacing w:line="560" w:lineRule="exact"/>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6.</w:t>
      </w:r>
      <w:r>
        <w:rPr>
          <w:rFonts w:cs="宋体" w:asciiTheme="minorEastAsia" w:hAnsiTheme="minorEastAsia" w:eastAsiaTheme="minorEastAsia"/>
          <w:b/>
          <w:kern w:val="0"/>
          <w:szCs w:val="21"/>
        </w:rPr>
        <w:t>7</w:t>
      </w:r>
      <w:r>
        <w:rPr>
          <w:rFonts w:hint="eastAsia" w:cs="宋体" w:asciiTheme="minorEastAsia" w:hAnsiTheme="minorEastAsia" w:eastAsiaTheme="minorEastAsia"/>
          <w:b/>
          <w:kern w:val="0"/>
          <w:szCs w:val="21"/>
        </w:rPr>
        <w:t>.2</w:t>
      </w:r>
      <w:r>
        <w:rPr>
          <w:rFonts w:cs="宋体" w:asciiTheme="minorEastAsia" w:hAnsiTheme="minorEastAsia" w:eastAsiaTheme="minorEastAsia"/>
          <w:b/>
          <w:kern w:val="0"/>
          <w:szCs w:val="21"/>
        </w:rPr>
        <w:t xml:space="preserve"> </w:t>
      </w:r>
      <w:r>
        <w:rPr>
          <w:rFonts w:hint="eastAsia" w:cs="宋体" w:asciiTheme="minorEastAsia" w:hAnsiTheme="minorEastAsia" w:eastAsiaTheme="minorEastAsia"/>
          <w:kern w:val="0"/>
          <w:szCs w:val="21"/>
        </w:rPr>
        <w:t>与行政机关存在利益关系。</w:t>
      </w:r>
    </w:p>
    <w:p>
      <w:pPr>
        <w:autoSpaceDE w:val="0"/>
        <w:autoSpaceDN w:val="0"/>
        <w:adjustRightInd w:val="0"/>
        <w:spacing w:line="560" w:lineRule="exact"/>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6</w:t>
      </w:r>
      <w:r>
        <w:rPr>
          <w:rFonts w:cs="宋体" w:asciiTheme="minorEastAsia" w:hAnsiTheme="minorEastAsia" w:eastAsiaTheme="minorEastAsia"/>
          <w:b/>
          <w:kern w:val="0"/>
          <w:szCs w:val="21"/>
        </w:rPr>
        <w:t>.7</w:t>
      </w:r>
      <w:r>
        <w:rPr>
          <w:rFonts w:hint="eastAsia" w:cs="宋体" w:asciiTheme="minorEastAsia" w:hAnsiTheme="minorEastAsia" w:eastAsiaTheme="minorEastAsia"/>
          <w:b/>
          <w:kern w:val="0"/>
          <w:szCs w:val="21"/>
        </w:rPr>
        <w:t>.3</w:t>
      </w:r>
      <w:r>
        <w:rPr>
          <w:rFonts w:cs="宋体" w:asciiTheme="minorEastAsia" w:hAnsiTheme="minorEastAsia" w:eastAsiaTheme="minorEastAsia"/>
          <w:b/>
          <w:kern w:val="0"/>
          <w:szCs w:val="21"/>
        </w:rPr>
        <w:t xml:space="preserve"> </w:t>
      </w:r>
      <w:r>
        <w:rPr>
          <w:rFonts w:hint="eastAsia" w:cs="宋体" w:asciiTheme="minorEastAsia" w:hAnsiTheme="minorEastAsia" w:eastAsiaTheme="minorEastAsia"/>
          <w:kern w:val="0"/>
          <w:szCs w:val="21"/>
        </w:rPr>
        <w:t>接受的资助是有可能对认证活动的客观公正产生影响。</w:t>
      </w:r>
    </w:p>
    <w:p>
      <w:pPr>
        <w:autoSpaceDE w:val="0"/>
        <w:autoSpaceDN w:val="0"/>
        <w:adjustRightInd w:val="0"/>
        <w:spacing w:line="560" w:lineRule="exact"/>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6</w:t>
      </w:r>
      <w:r>
        <w:rPr>
          <w:rFonts w:cs="宋体" w:asciiTheme="minorEastAsia" w:hAnsiTheme="minorEastAsia" w:eastAsiaTheme="minorEastAsia"/>
          <w:b/>
          <w:kern w:val="0"/>
          <w:szCs w:val="21"/>
        </w:rPr>
        <w:t>.7</w:t>
      </w:r>
      <w:r>
        <w:rPr>
          <w:rFonts w:hint="eastAsia" w:cs="宋体" w:asciiTheme="minorEastAsia" w:hAnsiTheme="minorEastAsia" w:eastAsiaTheme="minorEastAsia"/>
          <w:b/>
          <w:kern w:val="0"/>
          <w:szCs w:val="21"/>
        </w:rPr>
        <w:t>.4</w:t>
      </w:r>
      <w:r>
        <w:rPr>
          <w:rFonts w:hint="eastAsia" w:cs="宋体" w:asciiTheme="minorEastAsia" w:hAnsiTheme="minorEastAsia" w:eastAsiaTheme="minorEastAsia"/>
          <w:kern w:val="0"/>
          <w:szCs w:val="21"/>
        </w:rPr>
        <w:t xml:space="preserve"> 与认证委托人存在资产、管理方面的利益关系。</w:t>
      </w:r>
    </w:p>
    <w:p>
      <w:pPr>
        <w:autoSpaceDE w:val="0"/>
        <w:autoSpaceDN w:val="0"/>
        <w:adjustRightInd w:val="0"/>
        <w:spacing w:line="560" w:lineRule="exact"/>
        <w:ind w:left="420" w:left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6</w:t>
      </w:r>
      <w:r>
        <w:rPr>
          <w:rFonts w:cs="宋体" w:asciiTheme="minorEastAsia" w:hAnsiTheme="minorEastAsia" w:eastAsiaTheme="minorEastAsia"/>
          <w:b/>
          <w:kern w:val="0"/>
          <w:szCs w:val="21"/>
        </w:rPr>
        <w:t>.8</w:t>
      </w:r>
      <w:r>
        <w:rPr>
          <w:rFonts w:cs="宋体" w:asciiTheme="minorEastAsia" w:hAnsiTheme="minorEastAsia" w:eastAsiaTheme="minorEastAsia"/>
          <w:kern w:val="0"/>
          <w:szCs w:val="21"/>
        </w:rPr>
        <w:t xml:space="preserve"> </w:t>
      </w:r>
      <w:r>
        <w:rPr>
          <w:rFonts w:hint="eastAsia" w:cs="黑体" w:asciiTheme="minorEastAsia" w:hAnsiTheme="minorEastAsia" w:eastAsiaTheme="minorEastAsia"/>
          <w:kern w:val="0"/>
          <w:szCs w:val="21"/>
        </w:rPr>
        <w:t>维护公正性管理</w:t>
      </w:r>
      <w:r>
        <w:rPr>
          <w:rFonts w:hint="eastAsia" w:asciiTheme="minorEastAsia" w:hAnsiTheme="minorEastAsia" w:eastAsiaTheme="minorEastAsia"/>
          <w:szCs w:val="21"/>
        </w:rPr>
        <w:t>委员会对公正性</w:t>
      </w:r>
      <w:r>
        <w:rPr>
          <w:rFonts w:hint="eastAsia" w:cs="Arial" w:asciiTheme="minorEastAsia" w:hAnsiTheme="minorEastAsia" w:eastAsiaTheme="minorEastAsia"/>
          <w:szCs w:val="21"/>
        </w:rPr>
        <w:t>监督管理执行《管理委员会章程》，委员会委员的选取应充分考虑关键利益方的参与，并获取委员必要信息进行分析，确保能够履行自己的职能。</w:t>
      </w:r>
    </w:p>
    <w:p>
      <w:pPr>
        <w:spacing w:line="560" w:lineRule="exact"/>
        <w:rPr>
          <w:rFonts w:asciiTheme="minorEastAsia" w:hAnsiTheme="minorEastAsia" w:eastAsiaTheme="minorEastAsia"/>
          <w:b/>
          <w:sz w:val="24"/>
        </w:rPr>
      </w:pPr>
      <w:r>
        <w:rPr>
          <w:rFonts w:hint="eastAsia" w:asciiTheme="minorEastAsia" w:hAnsiTheme="minorEastAsia" w:eastAsiaTheme="minorEastAsia"/>
          <w:b/>
          <w:sz w:val="24"/>
        </w:rPr>
        <w:t>7.认证保密管理</w:t>
      </w:r>
    </w:p>
    <w:p>
      <w:pPr>
        <w:spacing w:line="560" w:lineRule="exact"/>
        <w:ind w:firstLine="211" w:firstLineChars="100"/>
        <w:rPr>
          <w:rFonts w:asciiTheme="minorEastAsia" w:hAnsiTheme="minorEastAsia" w:eastAsiaTheme="minorEastAsia"/>
          <w:b/>
          <w:bCs/>
          <w:szCs w:val="21"/>
        </w:rPr>
      </w:pPr>
      <w:r>
        <w:rPr>
          <w:rFonts w:hint="eastAsia" w:asciiTheme="minorEastAsia" w:hAnsiTheme="minorEastAsia" w:eastAsiaTheme="minorEastAsia"/>
          <w:b/>
          <w:bCs/>
          <w:szCs w:val="21"/>
        </w:rPr>
        <w:t>7.1 保密范围</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7.1.1</w:t>
      </w:r>
      <w:r>
        <w:rPr>
          <w:rFonts w:hint="eastAsia" w:asciiTheme="minorEastAsia" w:hAnsiTheme="minorEastAsia" w:eastAsiaTheme="minorEastAsia"/>
          <w:szCs w:val="21"/>
        </w:rPr>
        <w:t xml:space="preserve"> 公司的书面或电子方式的非公开的管理体系文件。</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7.1.2</w:t>
      </w:r>
      <w:r>
        <w:rPr>
          <w:rFonts w:hint="eastAsia" w:asciiTheme="minorEastAsia" w:hAnsiTheme="minorEastAsia" w:eastAsiaTheme="minorEastAsia"/>
          <w:b/>
          <w:szCs w:val="21"/>
        </w:rPr>
        <w:t xml:space="preserve"> </w:t>
      </w:r>
      <w:r>
        <w:rPr>
          <w:rFonts w:hint="eastAsia" w:asciiTheme="minorEastAsia" w:hAnsiTheme="minorEastAsia" w:eastAsiaTheme="minorEastAsia"/>
          <w:szCs w:val="21"/>
        </w:rPr>
        <w:t>公司的书面或电子方式各类记录。</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7.1.3</w:t>
      </w:r>
      <w:r>
        <w:rPr>
          <w:rFonts w:hint="eastAsia" w:asciiTheme="minorEastAsia" w:hAnsiTheme="minorEastAsia" w:eastAsiaTheme="minorEastAsia"/>
          <w:szCs w:val="21"/>
        </w:rPr>
        <w:t xml:space="preserve"> 公司的认证人员档案。</w:t>
      </w:r>
    </w:p>
    <w:p>
      <w:pPr>
        <w:spacing w:line="560" w:lineRule="exact"/>
        <w:ind w:left="210" w:leftChars="100"/>
        <w:rPr>
          <w:rFonts w:asciiTheme="minorEastAsia" w:hAnsiTheme="minorEastAsia" w:eastAsiaTheme="minorEastAsia"/>
          <w:szCs w:val="21"/>
        </w:rPr>
      </w:pPr>
      <w:r>
        <w:rPr>
          <w:rFonts w:hint="eastAsia" w:asciiTheme="minorEastAsia" w:hAnsiTheme="minorEastAsia" w:eastAsiaTheme="minorEastAsia"/>
          <w:b/>
          <w:bCs/>
          <w:szCs w:val="21"/>
        </w:rPr>
        <w:t>7.1.4</w:t>
      </w:r>
      <w:r>
        <w:rPr>
          <w:rFonts w:hint="eastAsia" w:asciiTheme="minorEastAsia" w:hAnsiTheme="minorEastAsia" w:eastAsiaTheme="minorEastAsia"/>
          <w:b/>
          <w:szCs w:val="21"/>
        </w:rPr>
        <w:t xml:space="preserve"> </w:t>
      </w:r>
      <w:r>
        <w:rPr>
          <w:rFonts w:hint="eastAsia" w:asciiTheme="minorEastAsia" w:hAnsiTheme="minorEastAsia" w:eastAsiaTheme="minorEastAsia"/>
          <w:szCs w:val="21"/>
        </w:rPr>
        <w:t>申请方和获证组织提交的文件与资料和在审核过程中获取的信息（申请方和获证组织已公开的或通过其他渠道获取的例外），以及申请方和获证组织要求进行保密的信息。</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7.1.5</w:t>
      </w:r>
      <w:r>
        <w:rPr>
          <w:rFonts w:hint="eastAsia" w:asciiTheme="minorEastAsia" w:hAnsiTheme="minorEastAsia" w:eastAsiaTheme="minorEastAsia"/>
          <w:szCs w:val="21"/>
        </w:rPr>
        <w:t xml:space="preserve"> 公司认证市场开发信息。</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7.1.6</w:t>
      </w:r>
      <w:r>
        <w:rPr>
          <w:rFonts w:hint="eastAsia" w:asciiTheme="minorEastAsia" w:hAnsiTheme="minorEastAsia" w:eastAsiaTheme="minorEastAsia"/>
          <w:szCs w:val="21"/>
        </w:rPr>
        <w:t xml:space="preserve"> 公司受理的申诉和投诉信息。</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7.1.7</w:t>
      </w:r>
      <w:r>
        <w:rPr>
          <w:rFonts w:hint="eastAsia" w:asciiTheme="minorEastAsia" w:hAnsiTheme="minorEastAsia" w:eastAsiaTheme="minorEastAsia"/>
          <w:szCs w:val="21"/>
        </w:rPr>
        <w:t xml:space="preserve"> 认证审定过程信息。</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7.1.8</w:t>
      </w:r>
      <w:r>
        <w:rPr>
          <w:rFonts w:hint="eastAsia" w:asciiTheme="minorEastAsia" w:hAnsiTheme="minorEastAsia" w:eastAsiaTheme="minorEastAsia"/>
          <w:szCs w:val="21"/>
        </w:rPr>
        <w:t xml:space="preserve"> 会议过程和结果信息。</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7.1.9</w:t>
      </w:r>
      <w:r>
        <w:rPr>
          <w:rFonts w:hint="eastAsia" w:asciiTheme="minorEastAsia" w:hAnsiTheme="minorEastAsia" w:eastAsiaTheme="minorEastAsia"/>
          <w:b/>
          <w:szCs w:val="21"/>
        </w:rPr>
        <w:t xml:space="preserve"> </w:t>
      </w:r>
      <w:r>
        <w:rPr>
          <w:rFonts w:hint="eastAsia" w:asciiTheme="minorEastAsia" w:hAnsiTheme="minorEastAsia" w:eastAsiaTheme="minorEastAsia"/>
          <w:szCs w:val="21"/>
        </w:rPr>
        <w:t>其他需要保密的技术和商业信息。</w:t>
      </w:r>
    </w:p>
    <w:p>
      <w:pPr>
        <w:spacing w:line="560" w:lineRule="exact"/>
        <w:ind w:firstLine="211" w:firstLineChars="100"/>
        <w:rPr>
          <w:rFonts w:asciiTheme="minorEastAsia" w:hAnsiTheme="minorEastAsia" w:eastAsiaTheme="minorEastAsia"/>
          <w:b/>
          <w:bCs/>
          <w:szCs w:val="21"/>
        </w:rPr>
      </w:pPr>
      <w:r>
        <w:rPr>
          <w:rFonts w:hint="eastAsia" w:asciiTheme="minorEastAsia" w:hAnsiTheme="minorEastAsia" w:eastAsiaTheme="minorEastAsia"/>
          <w:b/>
          <w:bCs/>
          <w:szCs w:val="21"/>
        </w:rPr>
        <w:t>7.2 密级</w:t>
      </w:r>
    </w:p>
    <w:p>
      <w:pPr>
        <w:autoSpaceDE w:val="0"/>
        <w:autoSpaceDN w:val="0"/>
        <w:adjustRightInd w:val="0"/>
        <w:spacing w:line="560" w:lineRule="exact"/>
        <w:ind w:left="210" w:leftChars="100" w:firstLine="210" w:firstLineChars="100"/>
        <w:jc w:val="left"/>
        <w:rPr>
          <w:rFonts w:ascii="宋体" w:hAnsi="宋体"/>
          <w:szCs w:val="21"/>
        </w:rPr>
      </w:pPr>
      <w:r>
        <w:rPr>
          <w:rFonts w:hint="eastAsia" w:ascii="宋体" w:hAnsi="宋体"/>
          <w:szCs w:val="21"/>
        </w:rPr>
        <w:t>密级划分为秘密与机密。未加以注明或说明的都属于秘密级信息。如密级决定人认为需要加以注明或说明的属于机密级。</w:t>
      </w:r>
    </w:p>
    <w:p>
      <w:pPr>
        <w:spacing w:line="560" w:lineRule="exact"/>
        <w:ind w:firstLine="211" w:firstLineChars="100"/>
        <w:rPr>
          <w:rFonts w:asciiTheme="minorEastAsia" w:hAnsiTheme="minorEastAsia" w:eastAsiaTheme="minorEastAsia"/>
          <w:b/>
          <w:bCs/>
          <w:szCs w:val="21"/>
        </w:rPr>
      </w:pPr>
      <w:r>
        <w:rPr>
          <w:rFonts w:hint="eastAsia" w:asciiTheme="minorEastAsia" w:hAnsiTheme="minorEastAsia" w:eastAsiaTheme="minorEastAsia"/>
          <w:b/>
          <w:bCs/>
          <w:szCs w:val="21"/>
        </w:rPr>
        <w:t>7.3保密措施</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7.3.1</w:t>
      </w:r>
      <w:r>
        <w:rPr>
          <w:rFonts w:hint="eastAsia" w:asciiTheme="minorEastAsia" w:hAnsiTheme="minorEastAsia" w:eastAsiaTheme="minorEastAsia"/>
          <w:szCs w:val="21"/>
        </w:rPr>
        <w:t>内部办公场所应确保无关人员不能随意进出。</w:t>
      </w:r>
    </w:p>
    <w:p>
      <w:pPr>
        <w:spacing w:line="560" w:lineRule="exact"/>
        <w:ind w:left="210" w:leftChars="100"/>
        <w:rPr>
          <w:rFonts w:asciiTheme="minorEastAsia" w:hAnsiTheme="minorEastAsia" w:eastAsiaTheme="minorEastAsia"/>
          <w:szCs w:val="21"/>
        </w:rPr>
      </w:pPr>
      <w:r>
        <w:rPr>
          <w:rFonts w:hint="eastAsia" w:asciiTheme="minorEastAsia" w:hAnsiTheme="minorEastAsia" w:eastAsiaTheme="minorEastAsia"/>
          <w:b/>
          <w:bCs/>
          <w:szCs w:val="21"/>
        </w:rPr>
        <w:t>7.3.2</w:t>
      </w:r>
      <w:r>
        <w:rPr>
          <w:rFonts w:hint="eastAsia" w:asciiTheme="minorEastAsia" w:hAnsiTheme="minorEastAsia" w:eastAsiaTheme="minorEastAsia"/>
          <w:szCs w:val="21"/>
        </w:rPr>
        <w:t>需要保密的各类文件、记录、资料、信息都要指定专人管理，妥善保存，并在适用时规定发放、回收、携带、借阅、复制、销毁、引用制度，对需要列入公开文件和公开网络的信息需经公司综合管理部门审查同意。</w:t>
      </w:r>
    </w:p>
    <w:p>
      <w:pPr>
        <w:spacing w:line="560" w:lineRule="exact"/>
        <w:ind w:left="210" w:leftChars="100"/>
        <w:rPr>
          <w:rFonts w:asciiTheme="minorEastAsia" w:hAnsiTheme="minorEastAsia" w:eastAsiaTheme="minorEastAsia"/>
          <w:szCs w:val="21"/>
        </w:rPr>
      </w:pPr>
      <w:r>
        <w:rPr>
          <w:rFonts w:hint="eastAsia" w:asciiTheme="minorEastAsia" w:hAnsiTheme="minorEastAsia" w:eastAsiaTheme="minorEastAsia"/>
          <w:b/>
          <w:bCs/>
          <w:szCs w:val="21"/>
        </w:rPr>
        <w:t>7.3.3</w:t>
      </w:r>
      <w:r>
        <w:rPr>
          <w:rFonts w:hint="eastAsia" w:asciiTheme="minorEastAsia" w:hAnsiTheme="minorEastAsia" w:eastAsiaTheme="minorEastAsia"/>
          <w:szCs w:val="21"/>
        </w:rPr>
        <w:t>需要向外部组织或人员提供非公开管理体系文件、记录和信息，需经总经理批准。有关认证申请方和获证组织的特定的产品或信息需要所有权人书面同意后才能向第三方提供，当法律法规、认可规范、国际认证合作组织规定需要提交时，应将法律等要求提交的信息在公开文件中通知所有权人。</w:t>
      </w:r>
    </w:p>
    <w:p>
      <w:pPr>
        <w:spacing w:line="560" w:lineRule="exact"/>
        <w:ind w:left="210" w:leftChars="100"/>
        <w:rPr>
          <w:rFonts w:asciiTheme="minorEastAsia" w:hAnsiTheme="minorEastAsia" w:eastAsiaTheme="minorEastAsia"/>
          <w:bCs/>
          <w:szCs w:val="21"/>
        </w:rPr>
      </w:pPr>
      <w:r>
        <w:rPr>
          <w:rFonts w:hint="eastAsia" w:asciiTheme="minorEastAsia" w:hAnsiTheme="minorEastAsia" w:eastAsiaTheme="minorEastAsia"/>
          <w:b/>
          <w:bCs/>
          <w:szCs w:val="21"/>
        </w:rPr>
        <w:t>7.3.4</w:t>
      </w:r>
      <w:r>
        <w:rPr>
          <w:rFonts w:hint="eastAsia" w:asciiTheme="minorEastAsia" w:hAnsiTheme="minorEastAsia" w:eastAsiaTheme="minorEastAsia"/>
          <w:bCs/>
          <w:szCs w:val="21"/>
        </w:rPr>
        <w:t>公司人员，包括维护公正性管理委员会成员等有机会进入内部办公场所和接触到保密信息的人员均要签署保密保证书。</w:t>
      </w:r>
    </w:p>
    <w:p>
      <w:pPr>
        <w:spacing w:line="560" w:lineRule="exact"/>
        <w:ind w:left="210" w:leftChars="100"/>
        <w:rPr>
          <w:rFonts w:asciiTheme="minorEastAsia" w:hAnsiTheme="minorEastAsia" w:eastAsiaTheme="minorEastAsia"/>
          <w:szCs w:val="21"/>
        </w:rPr>
      </w:pPr>
      <w:r>
        <w:rPr>
          <w:rFonts w:hint="eastAsia" w:asciiTheme="minorEastAsia" w:hAnsiTheme="minorEastAsia" w:eastAsiaTheme="minorEastAsia"/>
          <w:b/>
          <w:bCs/>
          <w:szCs w:val="21"/>
        </w:rPr>
        <w:t>7.3.5</w:t>
      </w:r>
      <w:r>
        <w:rPr>
          <w:rFonts w:hint="eastAsia" w:asciiTheme="minorEastAsia" w:hAnsiTheme="minorEastAsia" w:eastAsiaTheme="minorEastAsia"/>
          <w:szCs w:val="21"/>
        </w:rPr>
        <w:t xml:space="preserve"> 机密级文件、记录和信息只能在授权范围内传递、阅读、议论，必要时要记录访问者的姓名与访问时间。</w:t>
      </w:r>
    </w:p>
    <w:p>
      <w:pPr>
        <w:spacing w:line="560" w:lineRule="exact"/>
        <w:ind w:left="210" w:leftChars="100"/>
        <w:rPr>
          <w:rFonts w:asciiTheme="minorEastAsia" w:hAnsiTheme="minorEastAsia" w:eastAsiaTheme="minorEastAsia"/>
          <w:szCs w:val="21"/>
        </w:rPr>
      </w:pPr>
      <w:r>
        <w:rPr>
          <w:rFonts w:hint="eastAsia" w:asciiTheme="minorEastAsia" w:hAnsiTheme="minorEastAsia" w:eastAsiaTheme="minorEastAsia"/>
          <w:b/>
          <w:bCs/>
          <w:szCs w:val="21"/>
        </w:rPr>
        <w:t>7.3.6</w:t>
      </w:r>
      <w:r>
        <w:rPr>
          <w:rFonts w:hint="eastAsia" w:asciiTheme="minorEastAsia" w:hAnsiTheme="minorEastAsia" w:eastAsiaTheme="minorEastAsia"/>
          <w:szCs w:val="21"/>
        </w:rPr>
        <w:t xml:space="preserve"> 在公开文件中和审核首次会议上，向认证申请方和获证组织承诺保密义务，并说明法律法规、认可规范和国际认证合作组织规定的例外情况。</w:t>
      </w:r>
    </w:p>
    <w:p>
      <w:pPr>
        <w:spacing w:line="560" w:lineRule="exact"/>
        <w:ind w:left="210" w:leftChars="100"/>
        <w:rPr>
          <w:rFonts w:asciiTheme="minorEastAsia" w:hAnsiTheme="minorEastAsia" w:eastAsiaTheme="minorEastAsia"/>
          <w:szCs w:val="21"/>
        </w:rPr>
      </w:pPr>
      <w:r>
        <w:rPr>
          <w:rFonts w:hint="eastAsia" w:asciiTheme="minorEastAsia" w:hAnsiTheme="minorEastAsia" w:eastAsiaTheme="minorEastAsia"/>
          <w:b/>
          <w:bCs/>
          <w:szCs w:val="21"/>
        </w:rPr>
        <w:t>7.3.7</w:t>
      </w:r>
      <w:r>
        <w:rPr>
          <w:rFonts w:hint="eastAsia" w:asciiTheme="minorEastAsia" w:hAnsiTheme="minorEastAsia" w:eastAsiaTheme="minorEastAsia"/>
          <w:szCs w:val="21"/>
        </w:rPr>
        <w:t xml:space="preserve"> 认证审核人员在审核过程中，在规定的记录表上记录审核证据与相关信息，不得复制或拷贝受审核</w:t>
      </w:r>
      <w:r>
        <w:rPr>
          <w:rFonts w:asciiTheme="minorEastAsia" w:hAnsiTheme="minorEastAsia" w:eastAsiaTheme="minorEastAsia"/>
          <w:szCs w:val="21"/>
        </w:rPr>
        <w:t>/</w:t>
      </w:r>
      <w:r>
        <w:rPr>
          <w:rFonts w:hint="eastAsia" w:asciiTheme="minorEastAsia" w:hAnsiTheme="minorEastAsia" w:eastAsiaTheme="minorEastAsia"/>
          <w:szCs w:val="21"/>
        </w:rPr>
        <w:t>检查方有保密要求的材料作为审核记录，特别是禁止拷贝或复制涉及到军方和国家秘密的资料。对若有必要复制或拷贝的受审核</w:t>
      </w:r>
      <w:r>
        <w:rPr>
          <w:rFonts w:asciiTheme="minorEastAsia" w:hAnsiTheme="minorEastAsia" w:eastAsiaTheme="minorEastAsia"/>
          <w:szCs w:val="21"/>
        </w:rPr>
        <w:t>/</w:t>
      </w:r>
      <w:r>
        <w:rPr>
          <w:rFonts w:hint="eastAsia" w:asciiTheme="minorEastAsia" w:hAnsiTheme="minorEastAsia" w:eastAsiaTheme="minorEastAsia"/>
          <w:szCs w:val="21"/>
        </w:rPr>
        <w:t>检查方的任何资料，事前应征得受审核</w:t>
      </w:r>
      <w:r>
        <w:rPr>
          <w:rFonts w:asciiTheme="minorEastAsia" w:hAnsiTheme="minorEastAsia" w:eastAsiaTheme="minorEastAsia"/>
          <w:szCs w:val="21"/>
        </w:rPr>
        <w:t>/</w:t>
      </w:r>
      <w:r>
        <w:rPr>
          <w:rFonts w:hint="eastAsia" w:asciiTheme="minorEastAsia" w:hAnsiTheme="minorEastAsia" w:eastAsiaTheme="minorEastAsia"/>
          <w:szCs w:val="21"/>
        </w:rPr>
        <w:t xml:space="preserve">检查方的同意，并应严格保密。    </w:t>
      </w:r>
    </w:p>
    <w:p>
      <w:pPr>
        <w:spacing w:line="56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 xml:space="preserve">审核中借用的各种文件资料，审核结束时必须原数归还，不得他用。 </w:t>
      </w:r>
    </w:p>
    <w:p>
      <w:pPr>
        <w:spacing w:line="560" w:lineRule="exact"/>
        <w:ind w:left="210" w:leftChars="100"/>
        <w:rPr>
          <w:rFonts w:asciiTheme="minorEastAsia" w:hAnsiTheme="minorEastAsia" w:eastAsiaTheme="minorEastAsia"/>
          <w:szCs w:val="21"/>
        </w:rPr>
      </w:pPr>
      <w:r>
        <w:rPr>
          <w:rFonts w:hint="eastAsia" w:asciiTheme="minorEastAsia" w:hAnsiTheme="minorEastAsia" w:eastAsiaTheme="minorEastAsia"/>
          <w:szCs w:val="21"/>
        </w:rPr>
        <w:t>注：在审核过程中，对组织的重要技术信息，如原料配方等，可以只表述查阅的文件或记录编号和对技术信息的评价意见，可以不记录技术信息的具体内容。如确需记录技术信息具体内容或索取技术信息的复印件时，应采取密封方式保存与携带，并交给委托方指定人员。</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7.3.8</w:t>
      </w:r>
      <w:r>
        <w:rPr>
          <w:rFonts w:hint="eastAsia" w:asciiTheme="minorEastAsia" w:hAnsiTheme="minorEastAsia" w:eastAsiaTheme="minorEastAsia"/>
          <w:szCs w:val="21"/>
        </w:rPr>
        <w:t>公司人员不得在公众场所议论需要保密的信息，不在私下探听与自身工作无关的信息。</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7.3.9</w:t>
      </w:r>
      <w:r>
        <w:rPr>
          <w:rFonts w:hint="eastAsia" w:asciiTheme="minorEastAsia" w:hAnsiTheme="minorEastAsia" w:eastAsiaTheme="minorEastAsia"/>
          <w:szCs w:val="21"/>
        </w:rPr>
        <w:t xml:space="preserve"> 在与分包方签署的合作协议中，应规定保密要求。</w:t>
      </w:r>
    </w:p>
    <w:p>
      <w:pPr>
        <w:spacing w:line="560" w:lineRule="exact"/>
        <w:ind w:firstLine="211" w:firstLineChars="100"/>
        <w:rPr>
          <w:rFonts w:asciiTheme="minorEastAsia" w:hAnsiTheme="minorEastAsia" w:eastAsiaTheme="minorEastAsia"/>
          <w:b/>
          <w:bCs/>
          <w:szCs w:val="21"/>
        </w:rPr>
      </w:pPr>
      <w:r>
        <w:rPr>
          <w:rFonts w:hint="eastAsia" w:asciiTheme="minorEastAsia" w:hAnsiTheme="minorEastAsia" w:eastAsiaTheme="minorEastAsia"/>
          <w:b/>
          <w:bCs/>
          <w:szCs w:val="21"/>
        </w:rPr>
        <w:t>7.4违反保密规定的处理</w:t>
      </w:r>
    </w:p>
    <w:p>
      <w:pPr>
        <w:spacing w:line="560" w:lineRule="exact"/>
        <w:ind w:firstLine="211" w:firstLineChars="100"/>
        <w:rPr>
          <w:rFonts w:asciiTheme="minorEastAsia" w:hAnsiTheme="minorEastAsia" w:eastAsiaTheme="minorEastAsia"/>
          <w:szCs w:val="21"/>
        </w:rPr>
      </w:pPr>
      <w:r>
        <w:rPr>
          <w:rFonts w:hint="eastAsia" w:asciiTheme="minorEastAsia" w:hAnsiTheme="minorEastAsia" w:eastAsiaTheme="minorEastAsia"/>
          <w:b/>
          <w:bCs/>
          <w:szCs w:val="21"/>
        </w:rPr>
        <w:t>7.4.1</w:t>
      </w:r>
      <w:r>
        <w:rPr>
          <w:rFonts w:hint="eastAsia" w:asciiTheme="minorEastAsia" w:hAnsiTheme="minorEastAsia" w:eastAsiaTheme="minorEastAsia"/>
          <w:szCs w:val="21"/>
        </w:rPr>
        <w:t xml:space="preserve"> 公司内部和外部人员均有权向公司反映、举报泄密行为。</w:t>
      </w:r>
    </w:p>
    <w:p>
      <w:pPr>
        <w:spacing w:line="560" w:lineRule="exact"/>
        <w:ind w:left="210" w:leftChars="100"/>
        <w:rPr>
          <w:rFonts w:asciiTheme="minorEastAsia" w:hAnsiTheme="minorEastAsia" w:eastAsiaTheme="minorEastAsia"/>
          <w:szCs w:val="21"/>
        </w:rPr>
      </w:pPr>
      <w:r>
        <w:rPr>
          <w:rFonts w:hint="eastAsia" w:asciiTheme="minorEastAsia" w:hAnsiTheme="minorEastAsia" w:eastAsiaTheme="minorEastAsia"/>
          <w:b/>
          <w:bCs/>
          <w:szCs w:val="21"/>
        </w:rPr>
        <w:t>7.4.2</w:t>
      </w:r>
      <w:r>
        <w:rPr>
          <w:rFonts w:hint="eastAsia" w:asciiTheme="minorEastAsia" w:hAnsiTheme="minorEastAsia" w:eastAsiaTheme="minorEastAsia"/>
          <w:szCs w:val="21"/>
        </w:rPr>
        <w:t xml:space="preserve"> 经综合部核实情况后，按照已签署的保密协议规定，提出处理意见，报总经理批准后执行。</w:t>
      </w:r>
    </w:p>
    <w:p>
      <w:pPr>
        <w:spacing w:line="560" w:lineRule="exact"/>
        <w:ind w:left="210" w:leftChars="100"/>
        <w:rPr>
          <w:rFonts w:asciiTheme="minorEastAsia" w:hAnsiTheme="minorEastAsia" w:eastAsiaTheme="minorEastAsia"/>
          <w:szCs w:val="21"/>
        </w:rPr>
      </w:pPr>
      <w:r>
        <w:rPr>
          <w:rFonts w:hint="eastAsia" w:asciiTheme="minorEastAsia" w:hAnsiTheme="minorEastAsia" w:eastAsiaTheme="minorEastAsia"/>
          <w:b/>
          <w:bCs/>
          <w:szCs w:val="21"/>
        </w:rPr>
        <w:t>7.4.3</w:t>
      </w:r>
      <w:r>
        <w:rPr>
          <w:rFonts w:hint="eastAsia" w:asciiTheme="minorEastAsia" w:hAnsiTheme="minorEastAsia" w:eastAsiaTheme="minorEastAsia"/>
          <w:szCs w:val="21"/>
        </w:rPr>
        <w:t xml:space="preserve"> 对违反本程序规定，但未造成泄密，或已造成泄密而影响程度轻微的从轻处理，如批评、警告；对违反本程序规定，而造成泄密，并影响严重的从重处理，如行政处分、经济赔偿、直至追究法律责任。</w:t>
      </w:r>
    </w:p>
    <w:p>
      <w:pPr>
        <w:spacing w:line="560" w:lineRule="exact"/>
        <w:ind w:left="210" w:leftChars="100"/>
        <w:rPr>
          <w:rFonts w:asciiTheme="minorEastAsia" w:hAnsiTheme="minorEastAsia" w:eastAsiaTheme="minorEastAsia"/>
          <w:bCs/>
          <w:szCs w:val="21"/>
        </w:rPr>
      </w:pPr>
      <w:r>
        <w:rPr>
          <w:rFonts w:hint="eastAsia" w:asciiTheme="minorEastAsia" w:hAnsiTheme="minorEastAsia" w:eastAsiaTheme="minorEastAsia"/>
          <w:b/>
          <w:bCs/>
          <w:szCs w:val="21"/>
        </w:rPr>
        <w:t>7.4.4</w:t>
      </w:r>
      <w:r>
        <w:rPr>
          <w:rFonts w:hint="eastAsia" w:asciiTheme="minorEastAsia" w:hAnsiTheme="minorEastAsia" w:eastAsiaTheme="minorEastAsia"/>
          <w:bCs/>
          <w:szCs w:val="21"/>
        </w:rPr>
        <w:t xml:space="preserve"> 综合部保持处理结果的记录。</w:t>
      </w:r>
    </w:p>
    <w:p>
      <w:pPr>
        <w:spacing w:line="560" w:lineRule="exact"/>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 xml:space="preserve"> </w:t>
      </w:r>
      <w:r>
        <w:rPr>
          <w:rFonts w:hint="eastAsia" w:asciiTheme="minorEastAsia" w:hAnsiTheme="minorEastAsia" w:eastAsiaTheme="minorEastAsia"/>
          <w:b/>
          <w:sz w:val="24"/>
        </w:rPr>
        <w:t>相关文件</w:t>
      </w:r>
    </w:p>
    <w:p>
      <w:pPr>
        <w:autoSpaceDE w:val="0"/>
        <w:autoSpaceDN w:val="0"/>
        <w:spacing w:before="141" w:line="560" w:lineRule="exact"/>
        <w:ind w:firstLine="422" w:firstLineChars="200"/>
        <w:jc w:val="left"/>
        <w:rPr>
          <w:rFonts w:ascii="宋体" w:hAnsi="宋体" w:cs="宋体"/>
          <w:kern w:val="0"/>
          <w:szCs w:val="21"/>
          <w:lang w:val="zh-CN" w:bidi="zh-CN"/>
        </w:rPr>
      </w:pPr>
      <w:r>
        <w:rPr>
          <w:rFonts w:hint="eastAsia" w:ascii="宋体" w:hAnsi="宋体" w:cs="宋体"/>
          <w:b/>
          <w:kern w:val="0"/>
          <w:szCs w:val="21"/>
          <w:lang w:val="zh-CN" w:bidi="zh-CN"/>
        </w:rPr>
        <w:t xml:space="preserve">8.2 </w:t>
      </w:r>
      <w:r>
        <w:rPr>
          <w:rFonts w:hint="eastAsia" w:ascii="宋体" w:hAnsi="宋体" w:cs="宋体"/>
          <w:kern w:val="0"/>
          <w:szCs w:val="21"/>
          <w:lang w:val="en-US" w:bidi="zh-CN"/>
        </w:rPr>
        <w:t>ZFC</w:t>
      </w:r>
      <w:r>
        <w:rPr>
          <w:rFonts w:ascii="宋体" w:hAnsi="宋体" w:cs="宋体"/>
          <w:kern w:val="0"/>
          <w:szCs w:val="21"/>
          <w:lang w:val="zh-CN" w:bidi="zh-CN"/>
        </w:rPr>
        <w:t>-SC-01</w:t>
      </w:r>
      <w:r>
        <w:rPr>
          <w:rFonts w:hint="eastAsia" w:ascii="宋体" w:hAnsi="宋体" w:cs="宋体"/>
          <w:kern w:val="0"/>
          <w:szCs w:val="21"/>
          <w:lang w:val="zh-CN" w:bidi="zh-CN"/>
        </w:rPr>
        <w:t>《综合管理手册》</w:t>
      </w:r>
    </w:p>
    <w:p>
      <w:pPr>
        <w:spacing w:line="560" w:lineRule="exact"/>
        <w:rPr>
          <w:rFonts w:asciiTheme="minorEastAsia" w:hAnsiTheme="minorEastAsia" w:eastAsiaTheme="minorEastAsia"/>
          <w:b/>
          <w:sz w:val="24"/>
        </w:rPr>
      </w:pPr>
      <w:r>
        <w:rPr>
          <w:rFonts w:hint="eastAsia" w:asciiTheme="minorEastAsia" w:hAnsiTheme="minorEastAsia" w:eastAsiaTheme="minorEastAsia"/>
          <w:b/>
          <w:sz w:val="24"/>
        </w:rPr>
        <w:t>9.相关记录</w:t>
      </w:r>
    </w:p>
    <w:p>
      <w:pPr>
        <w:spacing w:line="56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9.1</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机构</w:t>
      </w:r>
      <w:r>
        <w:rPr>
          <w:rFonts w:hint="eastAsia" w:asciiTheme="minorEastAsia" w:hAnsiTheme="minorEastAsia" w:eastAsiaTheme="minorEastAsia"/>
          <w:szCs w:val="21"/>
        </w:rPr>
        <w:t>公正性声明与保密承诺》</w:t>
      </w:r>
      <w:r>
        <w:rPr>
          <w:rFonts w:hint="eastAsia" w:ascii="宋体" w:hAnsi="宋体" w:cs="Arial" w:eastAsiaTheme="minorEastAsia"/>
          <w:lang w:val="en-US" w:eastAsia="zh-CN"/>
        </w:rPr>
        <w:t>ZFC</w:t>
      </w:r>
      <w:r>
        <w:rPr>
          <w:rFonts w:ascii="宋体" w:hAnsi="宋体" w:cs="Arial"/>
        </w:rPr>
        <w:t>-CX0402.1</w:t>
      </w:r>
      <w:bookmarkStart w:id="0" w:name="_GoBack"/>
      <w:bookmarkEnd w:id="0"/>
    </w:p>
    <w:p>
      <w:pPr>
        <w:spacing w:line="5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9.2</w:t>
      </w:r>
      <w:r>
        <w:rPr>
          <w:rFonts w:hint="eastAsia" w:asciiTheme="minorEastAsia" w:hAnsiTheme="minorEastAsia" w:eastAsiaTheme="minorEastAsia"/>
          <w:szCs w:val="21"/>
        </w:rPr>
        <w:t>《年度机构公正性审查报告》</w:t>
      </w:r>
      <w:r>
        <w:rPr>
          <w:rFonts w:hint="eastAsia" w:ascii="宋体" w:hAnsi="宋体" w:cs="Arial" w:eastAsiaTheme="minorEastAsia"/>
          <w:lang w:val="en-US" w:eastAsia="zh-CN"/>
        </w:rPr>
        <w:t>ZFC</w:t>
      </w:r>
      <w:r>
        <w:rPr>
          <w:rFonts w:ascii="宋体" w:hAnsi="宋体" w:cs="Arial"/>
        </w:rPr>
        <w:t>-CX0402.2</w:t>
      </w:r>
    </w:p>
    <w:sectPr>
      <w:headerReference r:id="rId4" w:type="first"/>
      <w:footerReference r:id="rId6" w:type="first"/>
      <w:headerReference r:id="rId3" w:type="default"/>
      <w:footerReference r:id="rId5" w:type="default"/>
      <w:pgSz w:w="11906" w:h="16838"/>
      <w:pgMar w:top="1418" w:right="1134" w:bottom="1134" w:left="1701" w:header="471" w:footer="52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5000" w:type="pct"/>
      <w:jc w:val="right"/>
      <w:tblLayout w:type="autofit"/>
      <w:tblCellMar>
        <w:top w:w="115" w:type="dxa"/>
        <w:left w:w="115" w:type="dxa"/>
        <w:bottom w:w="115" w:type="dxa"/>
        <w:right w:w="115" w:type="dxa"/>
      </w:tblCellMar>
    </w:tblPr>
    <w:tblGrid>
      <w:gridCol w:w="8836"/>
      <w:gridCol w:w="465"/>
    </w:tblGrid>
    <w:tr>
      <w:tblPrEx>
        <w:tblCellMar>
          <w:top w:w="115" w:type="dxa"/>
          <w:left w:w="115" w:type="dxa"/>
          <w:bottom w:w="115" w:type="dxa"/>
          <w:right w:w="115" w:type="dxa"/>
        </w:tblCellMar>
      </w:tblPrEx>
      <w:trPr>
        <w:jc w:val="right"/>
      </w:trPr>
      <w:tc>
        <w:tcPr>
          <w:tcW w:w="4795" w:type="dxa"/>
          <w:vAlign w:val="center"/>
        </w:tcPr>
        <w:sdt>
          <w:sdtPr>
            <w:rPr>
              <w:rFonts w:hint="default"/>
              <w:caps/>
              <w:color w:val="000000" w:themeColor="text1"/>
              <w:lang w:val="en-US"/>
            </w:rPr>
            <w:alias w:val="作者"/>
            <w:id w:val="-1736153232"/>
            <w:placeholder>
              <w:docPart w:val="E99D1F520F484FD58CC5F6501ABA8920"/>
            </w:placeholder>
            <w:dataBinding w:prefixMappings="xmlns:ns0='http://purl.org/dc/elements/1.1/' xmlns:ns1='http://schemas.openxmlformats.org/package/2006/metadata/core-properties' " w:xpath="/ns1:coreProperties[1]/ns0:creator[1]" w:storeItemID="{6C3C8BC8-F283-45AE-878A-BAB7291924A1}"/>
            <w:text/>
          </w:sdtPr>
          <w:sdtEndPr>
            <w:rPr>
              <w:rFonts w:hint="default"/>
              <w:caps/>
              <w:color w:val="000000" w:themeColor="text1"/>
              <w:lang w:val="en-US"/>
            </w:rPr>
          </w:sdtEndPr>
          <w:sdtContent>
            <w:p>
              <w:pPr>
                <w:pStyle w:val="57"/>
                <w:ind w:left="1260" w:hanging="420"/>
                <w:jc w:val="right"/>
                <w:rPr>
                  <w:caps/>
                  <w:color w:val="000000" w:themeColor="text1"/>
                </w:rPr>
              </w:pPr>
              <w:r>
                <w:rPr>
                  <w:rFonts w:hint="eastAsia"/>
                  <w:caps/>
                  <w:color w:val="000000" w:themeColor="text1"/>
                  <w:lang w:val="en-US" w:eastAsia="zh-CN"/>
                </w:rPr>
                <w:t>ZFC</w:t>
              </w:r>
            </w:p>
          </w:sdtContent>
        </w:sdt>
      </w:tc>
      <w:tc>
        <w:tcPr>
          <w:tcW w:w="250" w:type="pct"/>
          <w:shd w:val="clear" w:color="auto" w:fill="C0504D" w:themeFill="accent2"/>
          <w:vAlign w:val="center"/>
        </w:tcPr>
        <w:p>
          <w:pPr>
            <w:pStyle w:val="55"/>
            <w:jc w:val="center"/>
            <w:rPr>
              <w:color w:val="FFFFFF" w:themeColor="background1"/>
            </w:rPr>
          </w:pPr>
          <w:r>
            <w:rPr>
              <w:color w:val="FFFFFF" w:themeColor="background1"/>
            </w:rPr>
            <w:fldChar w:fldCharType="begin"/>
          </w:r>
          <w:r>
            <w:rPr>
              <w:color w:val="FFFFFF" w:themeColor="background1"/>
            </w:rPr>
            <w:instrText xml:space="preserve">PAGE   \* MERGEFORMAT</w:instrText>
          </w:r>
          <w:r>
            <w:rPr>
              <w:color w:val="FFFFFF" w:themeColor="background1"/>
            </w:rPr>
            <w:fldChar w:fldCharType="separate"/>
          </w:r>
          <w:r>
            <w:rPr>
              <w:color w:val="FFFFFF" w:themeColor="background1"/>
              <w:lang w:val="zh-CN"/>
            </w:rPr>
            <w:t>5</w:t>
          </w:r>
          <w:r>
            <w:rPr>
              <w:color w:val="FFFFFF" w:themeColor="background1"/>
            </w:rPr>
            <w:fldChar w:fldCharType="end"/>
          </w:r>
        </w:p>
      </w:tc>
    </w:tr>
  </w:tbl>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5000" w:type="pct"/>
      <w:jc w:val="right"/>
      <w:tblLayout w:type="autofit"/>
      <w:tblCellMar>
        <w:top w:w="115" w:type="dxa"/>
        <w:left w:w="115" w:type="dxa"/>
        <w:bottom w:w="115" w:type="dxa"/>
        <w:right w:w="115" w:type="dxa"/>
      </w:tblCellMar>
    </w:tblPr>
    <w:tblGrid>
      <w:gridCol w:w="8836"/>
      <w:gridCol w:w="465"/>
    </w:tblGrid>
    <w:tr>
      <w:tblPrEx>
        <w:tblCellMar>
          <w:top w:w="115" w:type="dxa"/>
          <w:left w:w="115" w:type="dxa"/>
          <w:bottom w:w="115" w:type="dxa"/>
          <w:right w:w="115" w:type="dxa"/>
        </w:tblCellMar>
      </w:tblPrEx>
      <w:trPr>
        <w:jc w:val="right"/>
      </w:trPr>
      <w:tc>
        <w:tcPr>
          <w:tcW w:w="4795" w:type="dxa"/>
          <w:vAlign w:val="center"/>
        </w:tcPr>
        <w:sdt>
          <w:sdtPr>
            <w:rPr>
              <w:caps/>
              <w:color w:val="000000" w:themeColor="text1"/>
            </w:rPr>
            <w:alias w:val="作者"/>
            <w:id w:val="1534539408"/>
            <w:placeholder>
              <w:docPart w:val="54D49F43174E4A0CB813DF856F626A09"/>
            </w:placeholder>
            <w:dataBinding w:prefixMappings="xmlns:ns0='http://purl.org/dc/elements/1.1/' xmlns:ns1='http://schemas.openxmlformats.org/package/2006/metadata/core-properties' " w:xpath="/ns1:coreProperties[1]/ns0:creator[1]" w:storeItemID="{6C3C8BC8-F283-45AE-878A-BAB7291924A1}"/>
            <w:text/>
          </w:sdtPr>
          <w:sdtEndPr>
            <w:rPr>
              <w:caps/>
              <w:color w:val="000000" w:themeColor="text1"/>
            </w:rPr>
          </w:sdtEndPr>
          <w:sdtContent>
            <w:p>
              <w:pPr>
                <w:pStyle w:val="57"/>
                <w:ind w:left="1260" w:hanging="420"/>
                <w:jc w:val="right"/>
                <w:rPr>
                  <w:caps/>
                  <w:color w:val="000000" w:themeColor="text1"/>
                </w:rPr>
              </w:pPr>
              <w:r>
                <w:rPr>
                  <w:rFonts w:hint="eastAsia"/>
                  <w:caps/>
                  <w:color w:val="000000" w:themeColor="text1"/>
                  <w:lang w:val="en-US" w:eastAsia="zh-CN"/>
                </w:rPr>
                <w:t>ZFC</w:t>
              </w:r>
            </w:p>
          </w:sdtContent>
        </w:sdt>
      </w:tc>
      <w:tc>
        <w:tcPr>
          <w:tcW w:w="250" w:type="pct"/>
          <w:shd w:val="clear" w:color="auto" w:fill="C0504D" w:themeFill="accent2"/>
          <w:vAlign w:val="center"/>
        </w:tcPr>
        <w:p>
          <w:pPr>
            <w:pStyle w:val="55"/>
            <w:jc w:val="center"/>
            <w:rPr>
              <w:color w:val="FFFFFF" w:themeColor="background1"/>
            </w:rPr>
          </w:pPr>
          <w:r>
            <w:rPr>
              <w:color w:val="FFFFFF" w:themeColor="background1"/>
            </w:rPr>
            <w:fldChar w:fldCharType="begin"/>
          </w:r>
          <w:r>
            <w:rPr>
              <w:color w:val="FFFFFF" w:themeColor="background1"/>
            </w:rPr>
            <w:instrText xml:space="preserve">PAGE   \* MERGEFORMAT</w:instrText>
          </w:r>
          <w:r>
            <w:rPr>
              <w:color w:val="FFFFFF" w:themeColor="background1"/>
            </w:rPr>
            <w:fldChar w:fldCharType="separate"/>
          </w:r>
          <w:r>
            <w:rPr>
              <w:color w:val="FFFFFF" w:themeColor="background1"/>
              <w:lang w:val="zh-CN"/>
            </w:rPr>
            <w:t>1</w:t>
          </w:r>
          <w:r>
            <w:rPr>
              <w:color w:val="FFFFFF" w:themeColor="background1"/>
            </w:rPr>
            <w:fldChar w:fldCharType="end"/>
          </w:r>
        </w:p>
      </w:tc>
    </w:tr>
  </w:tbl>
  <w:p>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Pr>
      <w:pStyle w:val="57"/>
      <w:jc w:val="both"/>
      <w:rPr>
        <w:b/>
      </w:rPr>
    </w:pPr>
    <w:r>
      <w:rPr>
        <w:b/>
      </w:rPr>
      <w:drawing>
        <wp:inline distT="0" distB="0" distL="0" distR="0">
          <wp:extent cx="341630" cy="3289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1630" cy="328930"/>
                  </a:xfrm>
                  <a:prstGeom prst="rect">
                    <a:avLst/>
                  </a:prstGeom>
                  <a:noFill/>
                </pic:spPr>
              </pic:pic>
            </a:graphicData>
          </a:graphic>
        </wp:inline>
      </w:drawing>
    </w:r>
    <w:r>
      <w:rPr>
        <w:rFonts w:hint="eastAsia"/>
        <w:b/>
      </w:rPr>
      <w:t xml:space="preserve">山东中梓富检认证有限公司 </w:t>
    </w:r>
    <w:r>
      <w:rPr>
        <w:b/>
      </w:rPr>
      <w:t xml:space="preserve">                                               </w:t>
    </w:r>
    <w:r>
      <w:rPr>
        <w:rFonts w:hint="eastAsia"/>
        <w:b/>
      </w:rPr>
      <w:t>程序文件</w:t>
    </w:r>
  </w:p>
  <w:p>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rPr>
        <w:b/>
      </w:rPr>
    </w:pPr>
    <w:r>
      <w:drawing>
        <wp:inline distT="0" distB="0" distL="0" distR="0">
          <wp:extent cx="341630" cy="3289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1630" cy="328930"/>
                  </a:xfrm>
                  <a:prstGeom prst="rect">
                    <a:avLst/>
                  </a:prstGeom>
                  <a:noFill/>
                </pic:spPr>
              </pic:pic>
            </a:graphicData>
          </a:graphic>
        </wp:inline>
      </w:drawing>
    </w:r>
    <w:r>
      <w:rPr>
        <w:rFonts w:hint="eastAsia"/>
        <w:b/>
      </w:rPr>
      <w:t xml:space="preserve">山东中梓富检认证有限公司 </w:t>
    </w:r>
    <w:r>
      <w:rPr>
        <w:b/>
      </w:rPr>
      <w:t xml:space="preserve">                                                       </w:t>
    </w:r>
    <w:r>
      <w:rPr>
        <w:rFonts w:hint="eastAsia"/>
        <w:b/>
      </w:rPr>
      <w:t>程序文件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24546069"/>
    <w:multiLevelType w:val="multilevel"/>
    <w:tmpl w:val="2454606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MzOTc2ZGJiY2M5NGZiNzE4OTEwOWY2NmJlNTk0NWYifQ=="/>
  </w:docVars>
  <w:rsids>
    <w:rsidRoot w:val="00F65183"/>
    <w:rsid w:val="00005DC7"/>
    <w:rsid w:val="00006534"/>
    <w:rsid w:val="00011644"/>
    <w:rsid w:val="00012B20"/>
    <w:rsid w:val="00021182"/>
    <w:rsid w:val="00021463"/>
    <w:rsid w:val="000530E6"/>
    <w:rsid w:val="0006045B"/>
    <w:rsid w:val="00070A3F"/>
    <w:rsid w:val="000902F5"/>
    <w:rsid w:val="000A331A"/>
    <w:rsid w:val="000A7AFF"/>
    <w:rsid w:val="000D65CC"/>
    <w:rsid w:val="000F0F1D"/>
    <w:rsid w:val="001044CC"/>
    <w:rsid w:val="001215CE"/>
    <w:rsid w:val="001479EA"/>
    <w:rsid w:val="0018719A"/>
    <w:rsid w:val="0019508D"/>
    <w:rsid w:val="00195E2C"/>
    <w:rsid w:val="001C7BA3"/>
    <w:rsid w:val="001D5768"/>
    <w:rsid w:val="001F2F63"/>
    <w:rsid w:val="001F3A6B"/>
    <w:rsid w:val="0020402D"/>
    <w:rsid w:val="002050E4"/>
    <w:rsid w:val="002110BD"/>
    <w:rsid w:val="0021212A"/>
    <w:rsid w:val="00216605"/>
    <w:rsid w:val="00232A34"/>
    <w:rsid w:val="002340DC"/>
    <w:rsid w:val="002510C2"/>
    <w:rsid w:val="00252D8F"/>
    <w:rsid w:val="00260720"/>
    <w:rsid w:val="00262E75"/>
    <w:rsid w:val="00267E67"/>
    <w:rsid w:val="002708C3"/>
    <w:rsid w:val="00281964"/>
    <w:rsid w:val="0028338F"/>
    <w:rsid w:val="002846A7"/>
    <w:rsid w:val="002905B7"/>
    <w:rsid w:val="00297BE9"/>
    <w:rsid w:val="002C7892"/>
    <w:rsid w:val="002D09B9"/>
    <w:rsid w:val="002E5A28"/>
    <w:rsid w:val="002F2298"/>
    <w:rsid w:val="002F64B4"/>
    <w:rsid w:val="0030248B"/>
    <w:rsid w:val="00310168"/>
    <w:rsid w:val="00333C69"/>
    <w:rsid w:val="00337B2D"/>
    <w:rsid w:val="003445EA"/>
    <w:rsid w:val="00355D21"/>
    <w:rsid w:val="00370E31"/>
    <w:rsid w:val="00376FDA"/>
    <w:rsid w:val="003B2ADE"/>
    <w:rsid w:val="003C24C9"/>
    <w:rsid w:val="003D043E"/>
    <w:rsid w:val="003F0B90"/>
    <w:rsid w:val="0040421A"/>
    <w:rsid w:val="00407C10"/>
    <w:rsid w:val="00420EC0"/>
    <w:rsid w:val="00430BB8"/>
    <w:rsid w:val="004335F1"/>
    <w:rsid w:val="00447392"/>
    <w:rsid w:val="004557D1"/>
    <w:rsid w:val="00460D3C"/>
    <w:rsid w:val="00483669"/>
    <w:rsid w:val="0048614A"/>
    <w:rsid w:val="004865E8"/>
    <w:rsid w:val="004B6CF7"/>
    <w:rsid w:val="004D380F"/>
    <w:rsid w:val="004E7BB4"/>
    <w:rsid w:val="005051FF"/>
    <w:rsid w:val="005174E9"/>
    <w:rsid w:val="00545622"/>
    <w:rsid w:val="00551473"/>
    <w:rsid w:val="00561228"/>
    <w:rsid w:val="00562F30"/>
    <w:rsid w:val="00565A61"/>
    <w:rsid w:val="005A021F"/>
    <w:rsid w:val="005B3967"/>
    <w:rsid w:val="005B3E7F"/>
    <w:rsid w:val="005D60E7"/>
    <w:rsid w:val="005E165B"/>
    <w:rsid w:val="00606B99"/>
    <w:rsid w:val="00617648"/>
    <w:rsid w:val="006244BA"/>
    <w:rsid w:val="0063097D"/>
    <w:rsid w:val="00643E68"/>
    <w:rsid w:val="00643E7B"/>
    <w:rsid w:val="00672C8B"/>
    <w:rsid w:val="006739D3"/>
    <w:rsid w:val="00681CD8"/>
    <w:rsid w:val="00694DE3"/>
    <w:rsid w:val="006B5815"/>
    <w:rsid w:val="006C33AF"/>
    <w:rsid w:val="006C6080"/>
    <w:rsid w:val="006D19E7"/>
    <w:rsid w:val="006E0736"/>
    <w:rsid w:val="006E3774"/>
    <w:rsid w:val="007034BA"/>
    <w:rsid w:val="00703524"/>
    <w:rsid w:val="00706E6B"/>
    <w:rsid w:val="00723B7F"/>
    <w:rsid w:val="00727EBF"/>
    <w:rsid w:val="00731561"/>
    <w:rsid w:val="00732F5E"/>
    <w:rsid w:val="00734EC8"/>
    <w:rsid w:val="007440C2"/>
    <w:rsid w:val="0075172B"/>
    <w:rsid w:val="0076160D"/>
    <w:rsid w:val="00765205"/>
    <w:rsid w:val="007832F5"/>
    <w:rsid w:val="0078446E"/>
    <w:rsid w:val="007A2AB3"/>
    <w:rsid w:val="007B0FBE"/>
    <w:rsid w:val="007C217D"/>
    <w:rsid w:val="007E11A1"/>
    <w:rsid w:val="00802F25"/>
    <w:rsid w:val="00807689"/>
    <w:rsid w:val="00813608"/>
    <w:rsid w:val="008327D1"/>
    <w:rsid w:val="00842391"/>
    <w:rsid w:val="00860720"/>
    <w:rsid w:val="00890A86"/>
    <w:rsid w:val="008A41BB"/>
    <w:rsid w:val="008B0D07"/>
    <w:rsid w:val="008B12CB"/>
    <w:rsid w:val="008E0E5E"/>
    <w:rsid w:val="008E1122"/>
    <w:rsid w:val="008E1FB5"/>
    <w:rsid w:val="008E28B2"/>
    <w:rsid w:val="008E3613"/>
    <w:rsid w:val="008F7AF9"/>
    <w:rsid w:val="008F7F7F"/>
    <w:rsid w:val="00900F7D"/>
    <w:rsid w:val="00940F3A"/>
    <w:rsid w:val="0094427D"/>
    <w:rsid w:val="009878D8"/>
    <w:rsid w:val="009A21CB"/>
    <w:rsid w:val="009A3D93"/>
    <w:rsid w:val="009B3212"/>
    <w:rsid w:val="009C0EDD"/>
    <w:rsid w:val="009D4FBC"/>
    <w:rsid w:val="009F1903"/>
    <w:rsid w:val="00A0055C"/>
    <w:rsid w:val="00A02C0E"/>
    <w:rsid w:val="00A03A2C"/>
    <w:rsid w:val="00A04A40"/>
    <w:rsid w:val="00A074D2"/>
    <w:rsid w:val="00A11E8A"/>
    <w:rsid w:val="00A23E67"/>
    <w:rsid w:val="00A27477"/>
    <w:rsid w:val="00A277C9"/>
    <w:rsid w:val="00A305C5"/>
    <w:rsid w:val="00A3081C"/>
    <w:rsid w:val="00A35D8F"/>
    <w:rsid w:val="00A36C01"/>
    <w:rsid w:val="00A54545"/>
    <w:rsid w:val="00A813DA"/>
    <w:rsid w:val="00A83E13"/>
    <w:rsid w:val="00A851B8"/>
    <w:rsid w:val="00A95B71"/>
    <w:rsid w:val="00AA1293"/>
    <w:rsid w:val="00AA526A"/>
    <w:rsid w:val="00AB16E8"/>
    <w:rsid w:val="00AB2AA6"/>
    <w:rsid w:val="00AB6074"/>
    <w:rsid w:val="00AC5495"/>
    <w:rsid w:val="00AD7A9F"/>
    <w:rsid w:val="00AE446D"/>
    <w:rsid w:val="00AE5941"/>
    <w:rsid w:val="00B12C37"/>
    <w:rsid w:val="00B13BB3"/>
    <w:rsid w:val="00B141EA"/>
    <w:rsid w:val="00B7387C"/>
    <w:rsid w:val="00B863C7"/>
    <w:rsid w:val="00B9519A"/>
    <w:rsid w:val="00BB1613"/>
    <w:rsid w:val="00BE3EBC"/>
    <w:rsid w:val="00BF7F39"/>
    <w:rsid w:val="00C016A6"/>
    <w:rsid w:val="00C061CB"/>
    <w:rsid w:val="00C11809"/>
    <w:rsid w:val="00C2686D"/>
    <w:rsid w:val="00C45231"/>
    <w:rsid w:val="00C54CF4"/>
    <w:rsid w:val="00C8098F"/>
    <w:rsid w:val="00C824BE"/>
    <w:rsid w:val="00C85C4F"/>
    <w:rsid w:val="00C97AD2"/>
    <w:rsid w:val="00CA7EAF"/>
    <w:rsid w:val="00CC520D"/>
    <w:rsid w:val="00CD2962"/>
    <w:rsid w:val="00CF31B8"/>
    <w:rsid w:val="00CF7729"/>
    <w:rsid w:val="00D13975"/>
    <w:rsid w:val="00D17567"/>
    <w:rsid w:val="00D17DD0"/>
    <w:rsid w:val="00D37841"/>
    <w:rsid w:val="00D41CEC"/>
    <w:rsid w:val="00D462C6"/>
    <w:rsid w:val="00D50839"/>
    <w:rsid w:val="00D53B03"/>
    <w:rsid w:val="00D54CC0"/>
    <w:rsid w:val="00D56F8E"/>
    <w:rsid w:val="00D652FF"/>
    <w:rsid w:val="00D95C4B"/>
    <w:rsid w:val="00DA4093"/>
    <w:rsid w:val="00DA43E2"/>
    <w:rsid w:val="00DB2792"/>
    <w:rsid w:val="00DE10D2"/>
    <w:rsid w:val="00DE4C7D"/>
    <w:rsid w:val="00DF157A"/>
    <w:rsid w:val="00DF490A"/>
    <w:rsid w:val="00E158FB"/>
    <w:rsid w:val="00E1693A"/>
    <w:rsid w:val="00E3373F"/>
    <w:rsid w:val="00E4534A"/>
    <w:rsid w:val="00E55411"/>
    <w:rsid w:val="00E615CF"/>
    <w:rsid w:val="00E67FF5"/>
    <w:rsid w:val="00E77B08"/>
    <w:rsid w:val="00E9270C"/>
    <w:rsid w:val="00E96E08"/>
    <w:rsid w:val="00EB5D17"/>
    <w:rsid w:val="00EB5EAA"/>
    <w:rsid w:val="00EC4887"/>
    <w:rsid w:val="00ED4524"/>
    <w:rsid w:val="00EE5CA8"/>
    <w:rsid w:val="00EF00AB"/>
    <w:rsid w:val="00EF266B"/>
    <w:rsid w:val="00EF4B40"/>
    <w:rsid w:val="00EF4EF0"/>
    <w:rsid w:val="00F07598"/>
    <w:rsid w:val="00F1196C"/>
    <w:rsid w:val="00F131EE"/>
    <w:rsid w:val="00F21F31"/>
    <w:rsid w:val="00F22981"/>
    <w:rsid w:val="00F64E48"/>
    <w:rsid w:val="00F65183"/>
    <w:rsid w:val="00F7048F"/>
    <w:rsid w:val="00F73859"/>
    <w:rsid w:val="00F76614"/>
    <w:rsid w:val="00F82E1D"/>
    <w:rsid w:val="00F93958"/>
    <w:rsid w:val="00FA3F34"/>
    <w:rsid w:val="00FB5578"/>
    <w:rsid w:val="00FC4366"/>
    <w:rsid w:val="00FC69AA"/>
    <w:rsid w:val="00FD210A"/>
    <w:rsid w:val="00FE3A6A"/>
    <w:rsid w:val="02D92F72"/>
    <w:rsid w:val="1C4E0B5B"/>
    <w:rsid w:val="37FD49FC"/>
    <w:rsid w:val="390637D0"/>
    <w:rsid w:val="43CA31A2"/>
    <w:rsid w:val="7799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jc w:val="center"/>
      <w:outlineLvl w:val="4"/>
    </w:pPr>
    <w:rPr>
      <w:rFonts w:ascii="黑体" w:eastAsia="黑体"/>
      <w:sz w:val="72"/>
      <w:szCs w:val="21"/>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semiHidden/>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semiHidden/>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qFormat/>
    <w:uiPriority w:val="0"/>
    <w:rPr>
      <w:rFonts w:ascii="Arial" w:hAnsi="Arial" w:eastAsia="黑体" w:cs="Arial"/>
      <w:sz w:val="20"/>
      <w:szCs w:val="20"/>
    </w:rPr>
  </w:style>
  <w:style w:type="paragraph" w:styleId="23">
    <w:name w:val="index 5"/>
    <w:basedOn w:val="1"/>
    <w:next w:val="1"/>
    <w:semiHidden/>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6">
    <w:name w:val="Document Map"/>
    <w:basedOn w:val="1"/>
    <w:semiHidden/>
    <w:qFormat/>
    <w:uiPriority w:val="0"/>
    <w:pPr>
      <w:shd w:val="clear" w:color="auto" w:fill="000080"/>
    </w:pPr>
  </w:style>
  <w:style w:type="paragraph" w:styleId="27">
    <w:name w:val="toa heading"/>
    <w:basedOn w:val="1"/>
    <w:next w:val="1"/>
    <w:semiHidden/>
    <w:qFormat/>
    <w:uiPriority w:val="0"/>
    <w:pPr>
      <w:spacing w:before="120"/>
    </w:pPr>
    <w:rPr>
      <w:rFonts w:ascii="Arial" w:hAnsi="Arial" w:cs="Arial"/>
      <w:sz w:val="24"/>
    </w:rPr>
  </w:style>
  <w:style w:type="paragraph" w:styleId="28">
    <w:name w:val="annotation text"/>
    <w:basedOn w:val="1"/>
    <w:semiHidden/>
    <w:qFormat/>
    <w:uiPriority w:val="0"/>
    <w:pPr>
      <w:jc w:val="left"/>
    </w:pPr>
  </w:style>
  <w:style w:type="paragraph" w:styleId="29">
    <w:name w:val="index 6"/>
    <w:basedOn w:val="1"/>
    <w:next w:val="1"/>
    <w:semiHidden/>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pPr>
    <w:rPr>
      <w:sz w:val="16"/>
      <w:szCs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pPr>
  </w:style>
  <w:style w:type="paragraph" w:styleId="35">
    <w:name w:val="Body Text Indent"/>
    <w:basedOn w:val="1"/>
    <w:qFormat/>
    <w:uiPriority w:val="0"/>
    <w:pPr>
      <w:spacing w:after="12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iCs/>
    </w:rPr>
  </w:style>
  <w:style w:type="paragraph" w:styleId="42">
    <w:name w:val="index 4"/>
    <w:basedOn w:val="1"/>
    <w:next w:val="1"/>
    <w:semiHidden/>
    <w:qFormat/>
    <w:uiPriority w:val="0"/>
    <w:pPr>
      <w:ind w:left="600" w:leftChars="600"/>
    </w:pPr>
  </w:style>
  <w:style w:type="paragraph" w:styleId="43">
    <w:name w:val="toc 5"/>
    <w:basedOn w:val="1"/>
    <w:next w:val="1"/>
    <w:semiHidden/>
    <w:qFormat/>
    <w:uiPriority w:val="0"/>
    <w:pPr>
      <w:ind w:left="1680" w:leftChars="800"/>
    </w:pPr>
  </w:style>
  <w:style w:type="paragraph" w:styleId="44">
    <w:name w:val="toc 3"/>
    <w:basedOn w:val="1"/>
    <w:next w:val="1"/>
    <w:semiHidden/>
    <w:qFormat/>
    <w:uiPriority w:val="0"/>
    <w:pPr>
      <w:ind w:left="840" w:leftChars="400"/>
    </w:pPr>
  </w:style>
  <w:style w:type="paragraph" w:styleId="45">
    <w:name w:val="Plain Text"/>
    <w:basedOn w:val="1"/>
    <w:qFormat/>
    <w:uiPriority w:val="0"/>
    <w:rPr>
      <w:rFonts w:ascii="宋体" w:hAnsi="Courier New" w:cs="Courier New"/>
      <w:szCs w:val="21"/>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semiHidden/>
    <w:qFormat/>
    <w:uiPriority w:val="0"/>
    <w:pPr>
      <w:ind w:left="2940" w:leftChars="1400"/>
    </w:pPr>
  </w:style>
  <w:style w:type="paragraph" w:styleId="49">
    <w:name w:val="index 3"/>
    <w:basedOn w:val="1"/>
    <w:next w:val="1"/>
    <w:semiHidden/>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line="480" w:lineRule="auto"/>
      <w:ind w:left="420" w:leftChars="200"/>
    </w:pPr>
  </w:style>
  <w:style w:type="paragraph" w:styleId="52">
    <w:name w:val="endnote text"/>
    <w:basedOn w:val="1"/>
    <w:semiHidden/>
    <w:qFormat/>
    <w:uiPriority w:val="0"/>
    <w:pPr>
      <w:snapToGrid w:val="0"/>
      <w:jc w:val="left"/>
    </w:pPr>
  </w:style>
  <w:style w:type="paragraph" w:styleId="53">
    <w:name w:val="List Continue 5"/>
    <w:basedOn w:val="1"/>
    <w:qFormat/>
    <w:uiPriority w:val="0"/>
    <w:pPr>
      <w:spacing w:after="120"/>
      <w:ind w:left="2100" w:leftChars="1000"/>
    </w:pPr>
  </w:style>
  <w:style w:type="paragraph" w:styleId="54">
    <w:name w:val="Balloon Text"/>
    <w:basedOn w:val="1"/>
    <w:semiHidden/>
    <w:qFormat/>
    <w:uiPriority w:val="0"/>
    <w:rPr>
      <w:sz w:val="18"/>
      <w:szCs w:val="18"/>
    </w:rPr>
  </w:style>
  <w:style w:type="paragraph" w:styleId="55">
    <w:name w:val="footer"/>
    <w:basedOn w:val="1"/>
    <w:link w:val="92"/>
    <w:qFormat/>
    <w:uiPriority w:val="99"/>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cs="Arial"/>
    </w:rPr>
  </w:style>
  <w:style w:type="paragraph" w:styleId="57">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qFormat/>
    <w:uiPriority w:val="0"/>
    <w:pPr>
      <w:ind w:left="100" w:leftChars="2100"/>
    </w:pPr>
  </w:style>
  <w:style w:type="paragraph" w:styleId="59">
    <w:name w:val="toc 1"/>
    <w:basedOn w:val="1"/>
    <w:next w:val="1"/>
    <w:semiHidden/>
    <w:qFormat/>
    <w:uiPriority w:val="0"/>
  </w:style>
  <w:style w:type="paragraph" w:styleId="60">
    <w:name w:val="List Continue 4"/>
    <w:basedOn w:val="1"/>
    <w:qFormat/>
    <w:uiPriority w:val="0"/>
    <w:pPr>
      <w:spacing w:after="120"/>
      <w:ind w:left="1680" w:leftChars="800"/>
    </w:pPr>
  </w:style>
  <w:style w:type="paragraph" w:styleId="61">
    <w:name w:val="toc 4"/>
    <w:basedOn w:val="1"/>
    <w:next w:val="1"/>
    <w:semiHidden/>
    <w:qFormat/>
    <w:uiPriority w:val="0"/>
    <w:pPr>
      <w:ind w:left="1260" w:leftChars="600"/>
    </w:pPr>
  </w:style>
  <w:style w:type="paragraph" w:styleId="62">
    <w:name w:val="index heading"/>
    <w:basedOn w:val="1"/>
    <w:next w:val="63"/>
    <w:semiHidden/>
    <w:qFormat/>
    <w:uiPriority w:val="0"/>
    <w:rPr>
      <w:rFonts w:ascii="Arial" w:hAnsi="Arial" w:cs="Arial"/>
      <w:b/>
      <w:bCs/>
    </w:rPr>
  </w:style>
  <w:style w:type="paragraph" w:styleId="63">
    <w:name w:val="index 1"/>
    <w:basedOn w:val="1"/>
    <w:next w:val="1"/>
    <w:semiHidden/>
    <w:qFormat/>
    <w:uiPriority w:val="0"/>
  </w:style>
  <w:style w:type="paragraph" w:styleId="6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semiHidden/>
    <w:qFormat/>
    <w:uiPriority w:val="0"/>
    <w:pPr>
      <w:snapToGrid w:val="0"/>
      <w:jc w:val="left"/>
    </w:pPr>
    <w:rPr>
      <w:sz w:val="18"/>
      <w:szCs w:val="18"/>
    </w:rPr>
  </w:style>
  <w:style w:type="paragraph" w:styleId="68">
    <w:name w:val="toc 6"/>
    <w:basedOn w:val="1"/>
    <w:next w:val="1"/>
    <w:semiHidden/>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ind w:left="420" w:leftChars="200"/>
    </w:pPr>
    <w:rPr>
      <w:sz w:val="16"/>
      <w:szCs w:val="16"/>
    </w:rPr>
  </w:style>
  <w:style w:type="paragraph" w:styleId="71">
    <w:name w:val="index 7"/>
    <w:basedOn w:val="1"/>
    <w:next w:val="1"/>
    <w:semiHidden/>
    <w:qFormat/>
    <w:uiPriority w:val="0"/>
    <w:pPr>
      <w:ind w:left="1200" w:leftChars="1200"/>
    </w:pPr>
  </w:style>
  <w:style w:type="paragraph" w:styleId="72">
    <w:name w:val="index 9"/>
    <w:basedOn w:val="1"/>
    <w:next w:val="1"/>
    <w:semiHidden/>
    <w:qFormat/>
    <w:uiPriority w:val="0"/>
    <w:pPr>
      <w:ind w:left="1600" w:leftChars="1600"/>
    </w:pPr>
  </w:style>
  <w:style w:type="paragraph" w:styleId="73">
    <w:name w:val="table of figures"/>
    <w:basedOn w:val="1"/>
    <w:next w:val="1"/>
    <w:semiHidden/>
    <w:qFormat/>
    <w:uiPriority w:val="0"/>
    <w:pPr>
      <w:ind w:left="200" w:leftChars="200" w:hanging="200" w:hangingChars="200"/>
    </w:pPr>
  </w:style>
  <w:style w:type="paragraph" w:styleId="74">
    <w:name w:val="toc 2"/>
    <w:basedOn w:val="1"/>
    <w:next w:val="1"/>
    <w:semiHidden/>
    <w:qFormat/>
    <w:uiPriority w:val="0"/>
    <w:pPr>
      <w:ind w:left="420" w:leftChars="200"/>
    </w:pPr>
  </w:style>
  <w:style w:type="paragraph" w:styleId="75">
    <w:name w:val="toc 9"/>
    <w:basedOn w:val="1"/>
    <w:next w:val="1"/>
    <w:semiHidden/>
    <w:qFormat/>
    <w:uiPriority w:val="0"/>
    <w:pPr>
      <w:ind w:left="3360" w:leftChars="1600"/>
    </w:p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0">
    <w:name w:val="HTML Preformatted"/>
    <w:basedOn w:val="1"/>
    <w:qFormat/>
    <w:uiPriority w:val="0"/>
    <w:rPr>
      <w:rFonts w:ascii="Courier New" w:hAnsi="Courier New" w:cs="Courier New"/>
      <w:sz w:val="20"/>
      <w:szCs w:val="20"/>
    </w:rPr>
  </w:style>
  <w:style w:type="paragraph" w:styleId="81">
    <w:name w:val="Normal (Web)"/>
    <w:basedOn w:val="1"/>
    <w:qFormat/>
    <w:uiPriority w:val="0"/>
    <w:rPr>
      <w:sz w:val="24"/>
    </w:rPr>
  </w:style>
  <w:style w:type="paragraph" w:styleId="82">
    <w:name w:val="List Continue 3"/>
    <w:basedOn w:val="1"/>
    <w:qFormat/>
    <w:uiPriority w:val="0"/>
    <w:pPr>
      <w:spacing w:after="120"/>
      <w:ind w:left="1260" w:leftChars="600"/>
    </w:pPr>
  </w:style>
  <w:style w:type="paragraph" w:styleId="83">
    <w:name w:val="index 2"/>
    <w:basedOn w:val="1"/>
    <w:next w:val="1"/>
    <w:semiHidden/>
    <w:qFormat/>
    <w:uiPriority w:val="0"/>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semiHidden/>
    <w:qFormat/>
    <w:uiPriority w:val="0"/>
    <w:rPr>
      <w:b/>
      <w:bCs/>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semiHidden/>
    <w:qFormat/>
    <w:uiPriority w:val="0"/>
    <w:rPr>
      <w:sz w:val="21"/>
      <w:szCs w:val="21"/>
    </w:rPr>
  </w:style>
  <w:style w:type="character" w:customStyle="1" w:styleId="92">
    <w:name w:val="页脚 字符"/>
    <w:basedOn w:val="90"/>
    <w:link w:val="55"/>
    <w:qFormat/>
    <w:uiPriority w:val="99"/>
    <w:rPr>
      <w:kern w:val="2"/>
      <w:sz w:val="18"/>
      <w:szCs w:val="18"/>
    </w:rPr>
  </w:style>
  <w:style w:type="paragraph" w:styleId="93">
    <w:name w:val="List Paragraph"/>
    <w:basedOn w:val="1"/>
    <w:qFormat/>
    <w:uiPriority w:val="34"/>
    <w:pPr>
      <w:ind w:firstLine="420" w:firstLineChars="200"/>
    </w:p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5">
    <w:name w:val="页眉 字符"/>
    <w:basedOn w:val="90"/>
    <w:link w:val="57"/>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4635;&#37096;&#25991;&#20214;\&#39532;&#32769;&#24072;\&#25991;&#20214;&#27169;&#29256;.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4D49F43174E4A0CB813DF856F626A09"/>
        <w:style w:val=""/>
        <w:category>
          <w:name w:val="常规"/>
          <w:gallery w:val="placeholder"/>
        </w:category>
        <w:types>
          <w:type w:val="bbPlcHdr"/>
        </w:types>
        <w:behaviors>
          <w:behavior w:val="content"/>
        </w:behaviors>
        <w:description w:val=""/>
        <w:guid w:val="{B396CFE5-3014-437F-AED5-82790C1D5FD7}"/>
      </w:docPartPr>
      <w:docPartBody>
        <w:p>
          <w:pPr>
            <w:pStyle w:val="4"/>
          </w:pPr>
          <w:r>
            <w:rPr>
              <w:caps/>
              <w:color w:val="FFFFFF" w:themeColor="background1"/>
              <w:lang w:val="zh-CN"/>
            </w:rPr>
            <w:t>[作者姓名]</w:t>
          </w:r>
        </w:p>
      </w:docPartBody>
    </w:docPart>
    <w:docPart>
      <w:docPartPr>
        <w:name w:val="E99D1F520F484FD58CC5F6501ABA8920"/>
        <w:style w:val=""/>
        <w:category>
          <w:name w:val="常规"/>
          <w:gallery w:val="placeholder"/>
        </w:category>
        <w:types>
          <w:type w:val="bbPlcHdr"/>
        </w:types>
        <w:behaviors>
          <w:behavior w:val="content"/>
        </w:behaviors>
        <w:description w:val=""/>
        <w:guid w:val="{7847D850-3804-4986-BDD2-BB413C59AEBD}"/>
      </w:docPartPr>
      <w:docPartBody>
        <w:p>
          <w:pPr>
            <w:pStyle w:val="5"/>
          </w:pPr>
          <w:r>
            <w:rPr>
              <w:caps/>
              <w:color w:val="FFFFFF" w:themeColor="background1"/>
              <w:lang w:val="zh-CN"/>
            </w:rPr>
            <w:t>[作者姓名]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BE"/>
    <w:rsid w:val="0004586F"/>
    <w:rsid w:val="0006337B"/>
    <w:rsid w:val="00084D6C"/>
    <w:rsid w:val="001A5052"/>
    <w:rsid w:val="0020546B"/>
    <w:rsid w:val="00316930"/>
    <w:rsid w:val="00412310"/>
    <w:rsid w:val="005B3516"/>
    <w:rsid w:val="006450D2"/>
    <w:rsid w:val="006858AA"/>
    <w:rsid w:val="00707ACE"/>
    <w:rsid w:val="0079191A"/>
    <w:rsid w:val="007C1C10"/>
    <w:rsid w:val="00816D52"/>
    <w:rsid w:val="008B39C0"/>
    <w:rsid w:val="00940B77"/>
    <w:rsid w:val="00A31FBE"/>
    <w:rsid w:val="00A86C6F"/>
    <w:rsid w:val="00B437A4"/>
    <w:rsid w:val="00C223F6"/>
    <w:rsid w:val="00C240A1"/>
    <w:rsid w:val="00E11439"/>
    <w:rsid w:val="00F4279C"/>
    <w:rsid w:val="00F74308"/>
    <w:rsid w:val="00FA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54D49F43174E4A0CB813DF856F626A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E99D1F520F484FD58CC5F6501ABA892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文件模版</Template>
  <Company>fy</Company>
  <Pages>6</Pages>
  <Words>2996</Words>
  <Characters>3256</Characters>
  <Lines>24</Lines>
  <Paragraphs>6</Paragraphs>
  <TotalTime>0</TotalTime>
  <ScaleCrop>false</ScaleCrop>
  <LinksUpToDate>false</LinksUpToDate>
  <CharactersWithSpaces>3320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2016-03-06T02:54:00Z</dcterms:created>
  <dc:creator>ZFC</dc:creator>
  <cp:lastModifiedBy>WPS_1661341420</cp:lastModifiedBy>
  <cp:lastPrinted>2021-02-17T02:21:00Z</cp:lastPrinted>
  <dcterms:modified xsi:type="dcterms:W3CDTF">2023-08-29T11:48:18Z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A6B946FA1998489782A11DA421B22E16_12</vt:lpwstr>
  </property>
</Properties>
</file>